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E1" w:rsidRDefault="008C47E1" w:rsidP="008C47E1">
      <w:pPr>
        <w:jc w:val="center"/>
      </w:pPr>
    </w:p>
    <w:p w:rsidR="00122C5F" w:rsidRDefault="00122C5F" w:rsidP="008C47E1">
      <w:pPr>
        <w:jc w:val="center"/>
      </w:pPr>
    </w:p>
    <w:p w:rsidR="00122C5F" w:rsidRPr="00F22849" w:rsidRDefault="00122C5F" w:rsidP="008C47E1">
      <w:pPr>
        <w:jc w:val="center"/>
      </w:pPr>
    </w:p>
    <w:p w:rsidR="008C47E1" w:rsidRPr="00F22849" w:rsidRDefault="008C47E1" w:rsidP="008C47E1">
      <w:pPr>
        <w:jc w:val="center"/>
      </w:pPr>
      <w:r w:rsidRPr="00F22849">
        <w:t>FIRST SECTION</w:t>
      </w:r>
    </w:p>
    <w:p w:rsidR="008C47E1" w:rsidRDefault="008C47E1" w:rsidP="008C47E1">
      <w:pPr>
        <w:jc w:val="center"/>
      </w:pPr>
    </w:p>
    <w:p w:rsidR="00122C5F" w:rsidRDefault="00122C5F" w:rsidP="008C47E1">
      <w:pPr>
        <w:jc w:val="center"/>
      </w:pPr>
    </w:p>
    <w:p w:rsidR="00122C5F" w:rsidRDefault="00122C5F" w:rsidP="008C47E1">
      <w:pPr>
        <w:jc w:val="center"/>
      </w:pPr>
    </w:p>
    <w:p w:rsidR="00122C5F" w:rsidRDefault="00122C5F" w:rsidP="008C47E1">
      <w:pPr>
        <w:jc w:val="center"/>
      </w:pPr>
    </w:p>
    <w:p w:rsidR="00122C5F" w:rsidRDefault="00122C5F" w:rsidP="008C47E1">
      <w:pPr>
        <w:jc w:val="center"/>
      </w:pPr>
    </w:p>
    <w:p w:rsidR="00122C5F" w:rsidRPr="00F22849" w:rsidRDefault="00122C5F" w:rsidP="008C47E1">
      <w:pPr>
        <w:jc w:val="center"/>
      </w:pPr>
    </w:p>
    <w:p w:rsidR="008C47E1" w:rsidRPr="00F22849" w:rsidRDefault="008C47E1" w:rsidP="008C47E1">
      <w:pPr>
        <w:jc w:val="center"/>
        <w:rPr>
          <w:b/>
        </w:rPr>
      </w:pPr>
      <w:bookmarkStart w:id="0" w:name="To"/>
      <w:r w:rsidRPr="00F22849">
        <w:rPr>
          <w:b/>
        </w:rPr>
        <w:t xml:space="preserve">CASE OF </w:t>
      </w:r>
      <w:bookmarkEnd w:id="0"/>
      <w:r w:rsidR="000B6D7E">
        <w:rPr>
          <w:b/>
        </w:rPr>
        <w:t xml:space="preserve">ALEKSANDR </w:t>
      </w:r>
      <w:r w:rsidRPr="00F22849">
        <w:rPr>
          <w:b/>
        </w:rPr>
        <w:t xml:space="preserve">NOVOSELOV v. </w:t>
      </w:r>
      <w:smartTag w:uri="urn:schemas-microsoft-com:office:smarttags" w:element="place">
        <w:smartTag w:uri="urn:schemas-microsoft-com:office:smarttags" w:element="country-region">
          <w:r w:rsidRPr="00F22849">
            <w:rPr>
              <w:b/>
            </w:rPr>
            <w:t>RUSSIA</w:t>
          </w:r>
        </w:smartTag>
      </w:smartTag>
    </w:p>
    <w:p w:rsidR="008C47E1" w:rsidRPr="00F22849" w:rsidRDefault="008C47E1" w:rsidP="008C47E1">
      <w:pPr>
        <w:jc w:val="center"/>
      </w:pPr>
    </w:p>
    <w:p w:rsidR="008C47E1" w:rsidRPr="00F22849" w:rsidRDefault="008C47E1" w:rsidP="008C47E1">
      <w:pPr>
        <w:jc w:val="center"/>
        <w:rPr>
          <w:i/>
        </w:rPr>
      </w:pPr>
      <w:r w:rsidRPr="00F22849">
        <w:rPr>
          <w:i/>
        </w:rPr>
        <w:t>(Application no. 33954/05)</w:t>
      </w:r>
    </w:p>
    <w:p w:rsidR="008C47E1" w:rsidRPr="00F22849" w:rsidRDefault="008C47E1" w:rsidP="008C47E1">
      <w:pPr>
        <w:jc w:val="center"/>
      </w:pPr>
    </w:p>
    <w:p w:rsidR="008C47E1" w:rsidRDefault="008C47E1" w:rsidP="008C47E1">
      <w:pPr>
        <w:jc w:val="center"/>
      </w:pPr>
    </w:p>
    <w:p w:rsidR="000B7B30" w:rsidRPr="00F22849" w:rsidRDefault="000B7B30" w:rsidP="008C47E1">
      <w:pPr>
        <w:jc w:val="center"/>
      </w:pPr>
    </w:p>
    <w:p w:rsidR="008C47E1" w:rsidRPr="00F22849" w:rsidRDefault="008C47E1" w:rsidP="008C47E1">
      <w:pPr>
        <w:jc w:val="center"/>
      </w:pPr>
    </w:p>
    <w:p w:rsidR="008C47E1" w:rsidRDefault="008C47E1" w:rsidP="008C47E1">
      <w:pPr>
        <w:jc w:val="center"/>
      </w:pPr>
    </w:p>
    <w:p w:rsidR="00437C62" w:rsidRDefault="00437C62" w:rsidP="008C47E1">
      <w:pPr>
        <w:jc w:val="center"/>
      </w:pPr>
    </w:p>
    <w:p w:rsidR="00437C62" w:rsidRPr="00F22849" w:rsidRDefault="00437C62" w:rsidP="008C47E1">
      <w:pPr>
        <w:jc w:val="center"/>
      </w:pPr>
    </w:p>
    <w:p w:rsidR="008C47E1" w:rsidRPr="00F22849" w:rsidRDefault="008C47E1" w:rsidP="008C47E1">
      <w:pPr>
        <w:jc w:val="center"/>
      </w:pPr>
    </w:p>
    <w:p w:rsidR="008C47E1" w:rsidRPr="00122C5F" w:rsidRDefault="00122C5F" w:rsidP="00122C5F">
      <w:pPr>
        <w:jc w:val="center"/>
        <w:rPr>
          <w:sz w:val="22"/>
          <w:szCs w:val="22"/>
        </w:rPr>
      </w:pPr>
      <w:r>
        <w:rPr>
          <w:sz w:val="22"/>
          <w:szCs w:val="22"/>
        </w:rPr>
        <w:t>JUDGMENT</w:t>
      </w:r>
    </w:p>
    <w:p w:rsidR="00122C5F" w:rsidRDefault="00122C5F" w:rsidP="00122C5F">
      <w:pPr>
        <w:pStyle w:val="JuCase"/>
        <w:ind w:firstLine="0"/>
        <w:jc w:val="center"/>
        <w:rPr>
          <w:b w:val="0"/>
        </w:rPr>
      </w:pPr>
    </w:p>
    <w:p w:rsidR="00122C5F" w:rsidRDefault="00122C5F" w:rsidP="00122C5F">
      <w:pPr>
        <w:pStyle w:val="JuCase"/>
        <w:ind w:firstLine="0"/>
        <w:jc w:val="center"/>
        <w:rPr>
          <w:b w:val="0"/>
        </w:rPr>
      </w:pPr>
    </w:p>
    <w:p w:rsidR="00122C5F" w:rsidRDefault="00122C5F" w:rsidP="00122C5F">
      <w:pPr>
        <w:pStyle w:val="JuCase"/>
        <w:ind w:firstLine="0"/>
        <w:jc w:val="center"/>
        <w:rPr>
          <w:b w:val="0"/>
        </w:rPr>
      </w:pPr>
      <w:r>
        <w:rPr>
          <w:b w:val="0"/>
        </w:rPr>
        <w:t>STRASBOURG</w:t>
      </w:r>
    </w:p>
    <w:p w:rsidR="00122C5F" w:rsidRDefault="00122C5F" w:rsidP="00122C5F">
      <w:pPr>
        <w:pStyle w:val="JuCase"/>
        <w:ind w:firstLine="0"/>
        <w:jc w:val="center"/>
        <w:rPr>
          <w:b w:val="0"/>
        </w:rPr>
      </w:pPr>
    </w:p>
    <w:p w:rsidR="00122C5F" w:rsidRDefault="00122C5F" w:rsidP="00122C5F">
      <w:pPr>
        <w:pStyle w:val="JuCase"/>
        <w:ind w:firstLine="0"/>
        <w:jc w:val="center"/>
        <w:rPr>
          <w:b w:val="0"/>
        </w:rPr>
      </w:pPr>
      <w:r>
        <w:rPr>
          <w:b w:val="0"/>
        </w:rPr>
        <w:t>28 November 2013</w:t>
      </w:r>
    </w:p>
    <w:p w:rsidR="00122C5F" w:rsidRDefault="00122C5F" w:rsidP="00122C5F">
      <w:pPr>
        <w:pStyle w:val="JuCase"/>
        <w:ind w:firstLine="0"/>
        <w:rPr>
          <w:b w:val="0"/>
        </w:rPr>
      </w:pPr>
    </w:p>
    <w:p w:rsidR="00122C5F" w:rsidRDefault="00122C5F" w:rsidP="00B526B3">
      <w:pPr>
        <w:pStyle w:val="JuPara"/>
        <w:ind w:firstLine="0"/>
      </w:pPr>
    </w:p>
    <w:p w:rsidR="00122C5F" w:rsidRDefault="00122C5F" w:rsidP="00B526B3">
      <w:pPr>
        <w:pStyle w:val="JuPara"/>
        <w:ind w:firstLine="0"/>
      </w:pPr>
    </w:p>
    <w:p w:rsidR="00122C5F" w:rsidRPr="00122C5F" w:rsidRDefault="00122C5F" w:rsidP="00B526B3">
      <w:pPr>
        <w:pStyle w:val="JuPara"/>
        <w:ind w:firstLine="0"/>
      </w:pPr>
    </w:p>
    <w:p w:rsidR="00122C5F" w:rsidRDefault="00122C5F" w:rsidP="00B526B3">
      <w:pPr>
        <w:pStyle w:val="JuCase"/>
        <w:ind w:firstLine="0"/>
        <w:rPr>
          <w:b w:val="0"/>
          <w:i/>
          <w:sz w:val="22"/>
        </w:rPr>
      </w:pPr>
      <w:r>
        <w:rPr>
          <w:b w:val="0"/>
          <w:i/>
          <w:sz w:val="22"/>
        </w:rPr>
        <w:t>This judgment will become final in the circumstances set out in Article 44 § 2 of the Convention. It may be subject to editorial revision.</w:t>
      </w:r>
    </w:p>
    <w:p w:rsidR="00122C5F" w:rsidRPr="00122C5F" w:rsidRDefault="00122C5F" w:rsidP="00B526B3">
      <w:pPr>
        <w:pStyle w:val="JuPara"/>
        <w:ind w:firstLine="0"/>
        <w:sectPr w:rsidR="00122C5F" w:rsidRPr="00122C5F" w:rsidSect="00122C5F">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8C47E1" w:rsidRPr="00AB1F89" w:rsidRDefault="008C47E1" w:rsidP="008970F4">
      <w:pPr>
        <w:pStyle w:val="JuCase"/>
        <w:rPr>
          <w:b w:val="0"/>
          <w:bCs/>
        </w:rPr>
      </w:pPr>
      <w:r w:rsidRPr="008970F4">
        <w:t xml:space="preserve">In the case of </w:t>
      </w:r>
      <w:r w:rsidR="000B6D7E">
        <w:t xml:space="preserve">Aleksandr </w:t>
      </w:r>
      <w:r w:rsidRPr="008970F4">
        <w:t xml:space="preserve">Novoselov v. </w:t>
      </w:r>
      <w:smartTag w:uri="urn:schemas-microsoft-com:office:smarttags" w:element="place">
        <w:smartTag w:uri="urn:schemas-microsoft-com:office:smarttags" w:element="country-region">
          <w:r w:rsidRPr="008970F4">
            <w:t>Russia</w:t>
          </w:r>
        </w:smartTag>
      </w:smartTag>
      <w:r w:rsidRPr="008970F4">
        <w:t>,</w:t>
      </w:r>
    </w:p>
    <w:p w:rsidR="008C47E1" w:rsidRPr="00997B8C" w:rsidRDefault="008C47E1" w:rsidP="00997B8C">
      <w:pPr>
        <w:pStyle w:val="JuPara"/>
      </w:pPr>
      <w:r w:rsidRPr="00997B8C">
        <w:t>The European Court of Human Rights (First Section), sitting as a Committee composed of:</w:t>
      </w:r>
    </w:p>
    <w:p w:rsidR="008C47E1" w:rsidRPr="00141186" w:rsidRDefault="00122C5F" w:rsidP="008C47E1">
      <w:pPr>
        <w:pStyle w:val="JuJudges"/>
      </w:pPr>
      <w:r>
        <w:tab/>
      </w:r>
      <w:r w:rsidRPr="00DD3D85">
        <w:t>Isabelle Berro-Lefèvre,</w:t>
      </w:r>
      <w:r w:rsidRPr="00DD3D85">
        <w:rPr>
          <w:i/>
        </w:rPr>
        <w:t xml:space="preserve"> President,</w:t>
      </w:r>
      <w:r w:rsidRPr="00DD3D85">
        <w:rPr>
          <w:i/>
        </w:rPr>
        <w:br/>
      </w:r>
      <w:r w:rsidRPr="00DD3D85">
        <w:tab/>
        <w:t>Mirjana Lazarova Trajkovska,</w:t>
      </w:r>
      <w:r w:rsidRPr="00DD3D85">
        <w:rPr>
          <w:i/>
        </w:rPr>
        <w:br/>
      </w:r>
      <w:r w:rsidRPr="00DD3D85">
        <w:tab/>
        <w:t>Julia Laffranque,</w:t>
      </w:r>
      <w:r w:rsidRPr="00DD3D85">
        <w:rPr>
          <w:i/>
        </w:rPr>
        <w:br/>
      </w:r>
      <w:r w:rsidRPr="00DD3D85">
        <w:tab/>
        <w:t>Linos-Alexandre Sicilianos,</w:t>
      </w:r>
      <w:r w:rsidRPr="00DD3D85">
        <w:rPr>
          <w:i/>
        </w:rPr>
        <w:br/>
      </w:r>
      <w:r w:rsidRPr="00DD3D85">
        <w:tab/>
        <w:t>Erik Møse,</w:t>
      </w:r>
      <w:r w:rsidRPr="00DD3D85">
        <w:rPr>
          <w:i/>
        </w:rPr>
        <w:br/>
      </w:r>
      <w:r w:rsidRPr="00DD3D85">
        <w:tab/>
        <w:t>Ksenija Turković,</w:t>
      </w:r>
      <w:r w:rsidRPr="00DD3D85">
        <w:rPr>
          <w:i/>
        </w:rPr>
        <w:br/>
      </w:r>
      <w:r w:rsidRPr="00DD3D85">
        <w:tab/>
        <w:t>Dmitry Dedov,</w:t>
      </w:r>
      <w:r w:rsidRPr="00DD3D85">
        <w:rPr>
          <w:i/>
        </w:rPr>
        <w:t xml:space="preserve"> judges,</w:t>
      </w:r>
      <w:r w:rsidR="008C47E1" w:rsidRPr="00141186">
        <w:rPr>
          <w:szCs w:val="24"/>
        </w:rPr>
        <w:br/>
        <w:t>and Søren Nielsen,</w:t>
      </w:r>
      <w:r w:rsidR="008C47E1" w:rsidRPr="00141186">
        <w:t xml:space="preserve"> </w:t>
      </w:r>
      <w:r w:rsidR="008C47E1" w:rsidRPr="00141186">
        <w:rPr>
          <w:i/>
        </w:rPr>
        <w:t xml:space="preserve">Section </w:t>
      </w:r>
      <w:r w:rsidR="008C47E1" w:rsidRPr="00141186">
        <w:rPr>
          <w:i/>
          <w:iCs/>
        </w:rPr>
        <w:t>Registrar</w:t>
      </w:r>
      <w:r w:rsidR="008C47E1" w:rsidRPr="00141186">
        <w:t>,</w:t>
      </w:r>
    </w:p>
    <w:p w:rsidR="008C47E1" w:rsidRPr="00141186" w:rsidRDefault="008C47E1" w:rsidP="008C47E1">
      <w:pPr>
        <w:pStyle w:val="JuPara"/>
      </w:pPr>
      <w:r w:rsidRPr="00141186">
        <w:t xml:space="preserve">Having deliberated in private on </w:t>
      </w:r>
      <w:r w:rsidR="00122C5F">
        <w:t>5 November 2013</w:t>
      </w:r>
      <w:r w:rsidRPr="00141186">
        <w:t>,</w:t>
      </w:r>
    </w:p>
    <w:p w:rsidR="008C47E1" w:rsidRPr="00141186" w:rsidRDefault="008C47E1" w:rsidP="008C47E1">
      <w:pPr>
        <w:pStyle w:val="JuPara"/>
      </w:pPr>
      <w:r w:rsidRPr="00141186">
        <w:t>Delivers the following judgment, which was adopted on that date:</w:t>
      </w:r>
    </w:p>
    <w:p w:rsidR="008C47E1" w:rsidRPr="00141186" w:rsidRDefault="008C47E1" w:rsidP="008C47E1">
      <w:pPr>
        <w:pStyle w:val="JuHHead"/>
      </w:pPr>
      <w:r w:rsidRPr="00141186">
        <w:t>PROCEDURE</w:t>
      </w:r>
    </w:p>
    <w:p w:rsidR="00141186" w:rsidRDefault="00D02765" w:rsidP="008C47E1">
      <w:pPr>
        <w:pStyle w:val="JuPara"/>
      </w:pPr>
      <w:r>
        <w:fldChar w:fldCharType="begin"/>
      </w:r>
      <w:r>
        <w:instrText xml:space="preserve"> SEQ level0 \*arabic </w:instrText>
      </w:r>
      <w:r>
        <w:fldChar w:fldCharType="separate"/>
      </w:r>
      <w:r w:rsidR="00B41E90">
        <w:rPr>
          <w:noProof/>
        </w:rPr>
        <w:t>1</w:t>
      </w:r>
      <w:r>
        <w:fldChar w:fldCharType="end"/>
      </w:r>
      <w:r>
        <w:t>.  </w:t>
      </w:r>
      <w:r w:rsidR="008C47E1" w:rsidRPr="007F5A7A">
        <w:t xml:space="preserve">The case originated in an application (no. 33954/05) against the </w:t>
      </w:r>
      <w:smartTag w:uri="urn:schemas-microsoft-com:office:smarttags" w:element="place">
        <w:smartTag w:uri="urn:schemas-microsoft-com:office:smarttags" w:element="country-region">
          <w:r w:rsidR="008C47E1" w:rsidRPr="007F5A7A">
            <w:t>Russian Federation</w:t>
          </w:r>
        </w:smartTag>
      </w:smartTag>
      <w:r w:rsidR="008C47E1" w:rsidRPr="007F5A7A">
        <w:t xml:space="preserve"> lodged with the Court under Article 34 of the Convention for the Protection of Human Rights and Fundamental Freedoms (“the Convention”) by a Russian national, Mr Aleksandr Valeryevich Novoselov (“the applicant”), on 9 August 2005.</w:t>
      </w:r>
    </w:p>
    <w:p w:rsidR="008C47E1" w:rsidRPr="003C303C"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2</w:t>
      </w:r>
      <w:r w:rsidRPr="003C303C">
        <w:fldChar w:fldCharType="end"/>
      </w:r>
      <w:r w:rsidRPr="003C303C">
        <w:t xml:space="preserve">.  The applicant was represented by Ms O. Sadovskaya, a lawyer practising in Nizhniy Novgorod. The Russian Government (“the Government”) were represented by Mr G. Matyushkin, Representative of the </w:t>
      </w:r>
      <w:smartTag w:uri="urn:schemas-microsoft-com:office:smarttags" w:element="place">
        <w:smartTag w:uri="urn:schemas-microsoft-com:office:smarttags" w:element="country-region">
          <w:r w:rsidRPr="003C303C">
            <w:t>Russian Federation</w:t>
          </w:r>
        </w:smartTag>
      </w:smartTag>
      <w:r w:rsidRPr="003C303C">
        <w:t xml:space="preserve"> at the European Court of Human Rights.</w:t>
      </w:r>
    </w:p>
    <w:p w:rsidR="008C47E1" w:rsidRPr="008970F4" w:rsidRDefault="008C47E1" w:rsidP="008C47E1">
      <w:pPr>
        <w:pStyle w:val="JuPara"/>
      </w:pPr>
      <w:r w:rsidRPr="003C303C">
        <w:fldChar w:fldCharType="begin"/>
      </w:r>
      <w:r w:rsidRPr="00141186">
        <w:instrText xml:space="preserve"> SEQ level0 \*arabic </w:instrText>
      </w:r>
      <w:r w:rsidRPr="00141186">
        <w:fldChar w:fldCharType="separate"/>
      </w:r>
      <w:r w:rsidR="00B41E90">
        <w:rPr>
          <w:noProof/>
        </w:rPr>
        <w:t>3</w:t>
      </w:r>
      <w:r w:rsidRPr="003C303C">
        <w:fldChar w:fldCharType="end"/>
      </w:r>
      <w:r w:rsidRPr="003C303C">
        <w:t>.  The applicant complained that police officers had kidnapped and ill</w:t>
      </w:r>
      <w:r w:rsidR="00AB1F89">
        <w:noBreakHyphen/>
      </w:r>
      <w:r w:rsidRPr="007F5A7A">
        <w:t xml:space="preserve">treated him on 27 April 2004 and that subsequently there </w:t>
      </w:r>
      <w:r w:rsidR="00730E32" w:rsidRPr="007F5A7A">
        <w:t xml:space="preserve">had </w:t>
      </w:r>
      <w:r w:rsidR="00730E32" w:rsidRPr="003C303C">
        <w:t xml:space="preserve">been </w:t>
      </w:r>
      <w:r w:rsidR="003B0120" w:rsidRPr="003C303C">
        <w:t xml:space="preserve">no </w:t>
      </w:r>
      <w:r w:rsidRPr="003C303C">
        <w:t>proper investigation of th</w:t>
      </w:r>
      <w:r w:rsidR="00A83C86">
        <w:t>e</w:t>
      </w:r>
      <w:r w:rsidRPr="00AB1F89">
        <w:t>s</w:t>
      </w:r>
      <w:r w:rsidR="00A83C86">
        <w:t>e</w:t>
      </w:r>
      <w:r w:rsidRPr="008970F4">
        <w:t xml:space="preserve"> event</w:t>
      </w:r>
      <w:r w:rsidR="00A83C86">
        <w:t>s</w:t>
      </w:r>
      <w:r w:rsidRPr="008970F4">
        <w:t>.</w:t>
      </w:r>
    </w:p>
    <w:p w:rsidR="008C47E1" w:rsidRPr="003C303C" w:rsidRDefault="008C47E1" w:rsidP="008C47E1">
      <w:pPr>
        <w:pStyle w:val="JuPara"/>
        <w:rPr>
          <w:szCs w:val="22"/>
        </w:rPr>
      </w:pPr>
      <w:r w:rsidRPr="00AB1F89">
        <w:fldChar w:fldCharType="begin"/>
      </w:r>
      <w:r w:rsidRPr="00141186">
        <w:instrText xml:space="preserve"> SEQ level0 \*arabic </w:instrText>
      </w:r>
      <w:r w:rsidRPr="00141186">
        <w:fldChar w:fldCharType="separate"/>
      </w:r>
      <w:r w:rsidR="00B41E90">
        <w:rPr>
          <w:noProof/>
        </w:rPr>
        <w:t>4</w:t>
      </w:r>
      <w:r w:rsidRPr="007F5A7A">
        <w:fldChar w:fldCharType="end"/>
      </w:r>
      <w:r w:rsidRPr="007F5A7A">
        <w:t xml:space="preserve">.  On </w:t>
      </w:r>
      <w:r w:rsidRPr="007F5A7A">
        <w:rPr>
          <w:szCs w:val="24"/>
        </w:rPr>
        <w:t>20 May 2008</w:t>
      </w:r>
      <w:r w:rsidRPr="007F5A7A">
        <w:t xml:space="preserve"> the application was communicated to the Government.</w:t>
      </w:r>
    </w:p>
    <w:p w:rsidR="008C47E1" w:rsidRPr="003C303C" w:rsidRDefault="008C47E1" w:rsidP="008C47E1">
      <w:pPr>
        <w:pStyle w:val="JuHHead"/>
      </w:pPr>
      <w:r w:rsidRPr="003C303C">
        <w:t>THE FACTS</w:t>
      </w:r>
    </w:p>
    <w:p w:rsidR="008C47E1" w:rsidRPr="003C303C" w:rsidRDefault="008C47E1" w:rsidP="008C47E1">
      <w:pPr>
        <w:pStyle w:val="JuHIRoman"/>
        <w:outlineLvl w:val="0"/>
      </w:pPr>
      <w:r w:rsidRPr="003C303C">
        <w:t>I.  THE CIRCUMSTANCES OF THE CASE</w:t>
      </w:r>
    </w:p>
    <w:p w:rsidR="008C47E1" w:rsidRPr="003C303C" w:rsidRDefault="008C47E1" w:rsidP="008C47E1">
      <w:pPr>
        <w:pStyle w:val="JuPara"/>
      </w:pPr>
      <w:r w:rsidRPr="003C303C">
        <w:fldChar w:fldCharType="begin"/>
      </w:r>
      <w:r w:rsidRPr="00141186">
        <w:instrText xml:space="preserve"> SEQ level0 \*arabic </w:instrText>
      </w:r>
      <w:r w:rsidRPr="00141186">
        <w:fldChar w:fldCharType="separate"/>
      </w:r>
      <w:r w:rsidR="00B41E90">
        <w:rPr>
          <w:noProof/>
        </w:rPr>
        <w:t>5</w:t>
      </w:r>
      <w:r w:rsidRPr="003C303C">
        <w:fldChar w:fldCharType="end"/>
      </w:r>
      <w:r w:rsidRPr="003C303C">
        <w:t>.  The applicant was born in 1970 and lives in Nizhniy Novgorod.</w:t>
      </w:r>
    </w:p>
    <w:p w:rsidR="008C47E1" w:rsidRPr="007F5A7A" w:rsidRDefault="008C47E1" w:rsidP="008C47E1">
      <w:pPr>
        <w:pStyle w:val="JuHA"/>
      </w:pPr>
      <w:r w:rsidRPr="003C303C">
        <w:t>A.</w:t>
      </w:r>
      <w:r w:rsidR="00D02765">
        <w:t>  The</w:t>
      </w:r>
      <w:r w:rsidRPr="007F5A7A">
        <w:t xml:space="preserve"> </w:t>
      </w:r>
      <w:r w:rsidR="00D02765">
        <w:t>e</w:t>
      </w:r>
      <w:r w:rsidRPr="007F5A7A">
        <w:t xml:space="preserve">vents of April 2004 and </w:t>
      </w:r>
      <w:r w:rsidR="00D02765">
        <w:t xml:space="preserve">the </w:t>
      </w:r>
      <w:r w:rsidRPr="007F5A7A">
        <w:t>subsequent medical examinations</w:t>
      </w:r>
    </w:p>
    <w:p w:rsidR="00141186"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6</w:t>
      </w:r>
      <w:r w:rsidRPr="007F5A7A">
        <w:fldChar w:fldCharType="end"/>
      </w:r>
      <w:r w:rsidRPr="003C303C">
        <w:t xml:space="preserve">.  At the relevant time the applicant was an employee of </w:t>
      </w:r>
      <w:r w:rsidR="00A83C86" w:rsidRPr="00141186">
        <w:t xml:space="preserve">one </w:t>
      </w:r>
      <w:r w:rsidRPr="008970F4">
        <w:t>S., the</w:t>
      </w:r>
      <w:r w:rsidRPr="00AB1F89">
        <w:t xml:space="preserve"> owner of a private company. On 1 December 2003 an unknown person fired at S.</w:t>
      </w:r>
      <w:r w:rsidR="00C5795F">
        <w:t>’</w:t>
      </w:r>
      <w:r w:rsidRPr="00AB1F89">
        <w:t>s car using</w:t>
      </w:r>
      <w:r w:rsidR="00730E32" w:rsidRPr="007104F2">
        <w:t xml:space="preserve"> an</w:t>
      </w:r>
      <w:r w:rsidRPr="007F5A7A">
        <w:t xml:space="preserve"> AK-74 assault rifle. S. was wounded but survived the attack.</w:t>
      </w:r>
    </w:p>
    <w:p w:rsidR="008C47E1" w:rsidRPr="008970F4"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7</w:t>
      </w:r>
      <w:r w:rsidRPr="007F5A7A">
        <w:fldChar w:fldCharType="end"/>
      </w:r>
      <w:r w:rsidRPr="007F5A7A">
        <w:t>.  The investigative authorities suspected the applicant and his acquaintances D.A., D.M.</w:t>
      </w:r>
      <w:r w:rsidR="00141186">
        <w:t xml:space="preserve"> </w:t>
      </w:r>
      <w:r w:rsidRPr="007F5A7A">
        <w:t xml:space="preserve">and Sh. of having </w:t>
      </w:r>
      <w:r w:rsidR="00347690" w:rsidRPr="007F5A7A">
        <w:t xml:space="preserve">planned </w:t>
      </w:r>
      <w:r w:rsidR="00A83C86">
        <w:t>it</w:t>
      </w:r>
      <w:r w:rsidRPr="008970F4">
        <w:t>.</w:t>
      </w:r>
    </w:p>
    <w:bookmarkStart w:id="2" w:name="eight"/>
    <w:p w:rsidR="00141186"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8</w:t>
      </w:r>
      <w:r w:rsidRPr="007F5A7A">
        <w:fldChar w:fldCharType="end"/>
      </w:r>
      <w:bookmarkEnd w:id="2"/>
      <w:r w:rsidRPr="007F5A7A">
        <w:t>.  In this connection</w:t>
      </w:r>
      <w:r w:rsidR="00B46F8B" w:rsidRPr="007F5A7A">
        <w:t>,</w:t>
      </w:r>
      <w:r w:rsidRPr="007F5A7A">
        <w:t xml:space="preserve"> on 21 April 2004 the Nizhniy Novgorod Regional Department of the Interior authorised an </w:t>
      </w:r>
      <w:r w:rsidR="00B46F8B" w:rsidRPr="003C303C">
        <w:t>operati</w:t>
      </w:r>
      <w:r w:rsidR="00A0034D">
        <w:t>ve</w:t>
      </w:r>
      <w:r w:rsidR="00B46F8B" w:rsidRPr="007F5A7A">
        <w:t xml:space="preserve"> drill</w:t>
      </w:r>
      <w:r w:rsidRPr="007F5A7A">
        <w:t>.</w:t>
      </w:r>
      <w:bookmarkStart w:id="3" w:name="nine"/>
    </w:p>
    <w:bookmarkStart w:id="4" w:name="nineq"/>
    <w:p w:rsidR="008C47E1" w:rsidRPr="007F5A7A" w:rsidRDefault="008C47E1" w:rsidP="00141186">
      <w:pPr>
        <w:pStyle w:val="JuPara"/>
        <w:keepNext/>
        <w:keepLines/>
      </w:pPr>
      <w:r w:rsidRPr="007F5A7A">
        <w:fldChar w:fldCharType="begin"/>
      </w:r>
      <w:r w:rsidRPr="00141186">
        <w:instrText xml:space="preserve"> SEQ level0 \*arabic </w:instrText>
      </w:r>
      <w:r w:rsidRPr="00141186">
        <w:fldChar w:fldCharType="separate"/>
      </w:r>
      <w:r w:rsidR="00B41E90">
        <w:rPr>
          <w:noProof/>
        </w:rPr>
        <w:t>9</w:t>
      </w:r>
      <w:r w:rsidRPr="007F5A7A">
        <w:fldChar w:fldCharType="end"/>
      </w:r>
      <w:bookmarkEnd w:id="3"/>
      <w:bookmarkEnd w:id="4"/>
      <w:r w:rsidRPr="007F5A7A">
        <w:t>.  On 26 April 2004 the following instruction was given to the police officers in charge of it:</w:t>
      </w:r>
    </w:p>
    <w:p w:rsidR="00141186" w:rsidRDefault="008C47E1" w:rsidP="008C47E1">
      <w:pPr>
        <w:pStyle w:val="JuQuot"/>
      </w:pPr>
      <w:r w:rsidRPr="007F5A7A">
        <w:t xml:space="preserve">“The police officers should take [the applicant] in a car belonging to S. to </w:t>
      </w:r>
      <w:r w:rsidR="00347690" w:rsidRPr="007F5A7A">
        <w:t>the designated location</w:t>
      </w:r>
      <w:r w:rsidRPr="003C303C">
        <w:t xml:space="preserve">. The police officers should </w:t>
      </w:r>
      <w:r w:rsidR="00347690" w:rsidRPr="003C303C">
        <w:t>hold themselves out as</w:t>
      </w:r>
      <w:r w:rsidRPr="003C303C">
        <w:t xml:space="preserve"> members of S.</w:t>
      </w:r>
      <w:r w:rsidR="00C5795F">
        <w:t>’</w:t>
      </w:r>
      <w:r w:rsidRPr="003C303C">
        <w:t xml:space="preserve">s personal security service. At the </w:t>
      </w:r>
      <w:r w:rsidR="00347690" w:rsidRPr="003C303C">
        <w:t>designated location</w:t>
      </w:r>
      <w:r w:rsidRPr="00141186">
        <w:t xml:space="preserve"> [the applicant] should be met and questioned by </w:t>
      </w:r>
      <w:r w:rsidR="00730E32" w:rsidRPr="00141186">
        <w:t xml:space="preserve">a </w:t>
      </w:r>
      <w:r w:rsidRPr="00141186">
        <w:t>police officer disguised as S.”</w:t>
      </w:r>
      <w:bookmarkStart w:id="5" w:name="ten"/>
    </w:p>
    <w:bookmarkStart w:id="6" w:name="tenq"/>
    <w:p w:rsidR="00141186"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10</w:t>
      </w:r>
      <w:r w:rsidRPr="007F5A7A">
        <w:fldChar w:fldCharType="end"/>
      </w:r>
      <w:bookmarkEnd w:id="5"/>
      <w:bookmarkEnd w:id="6"/>
      <w:r w:rsidRPr="007F5A7A">
        <w:t>.  At about 10 a.m. on 27 April 2004 on his way to work the applicant was stopped by an unknown man. This man grabbed the applicant</w:t>
      </w:r>
      <w:r w:rsidR="00C5795F">
        <w:t>’</w:t>
      </w:r>
      <w:r w:rsidRPr="007F5A7A">
        <w:t xml:space="preserve">s hand and dragged him </w:t>
      </w:r>
      <w:r w:rsidR="00730E32" w:rsidRPr="007F5A7A">
        <w:t>in</w:t>
      </w:r>
      <w:r w:rsidRPr="007F5A7A">
        <w:t>to a black car belonging to S.</w:t>
      </w:r>
    </w:p>
    <w:p w:rsidR="008C47E1" w:rsidRPr="003C303C"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11</w:t>
      </w:r>
      <w:r w:rsidRPr="007F5A7A">
        <w:fldChar w:fldCharType="end"/>
      </w:r>
      <w:r w:rsidRPr="007F5A7A">
        <w:t>.  The applicant tried to escape and shouted for help. Two other men came out of the car and started beating him, forcing him in</w:t>
      </w:r>
      <w:r w:rsidR="00730E32" w:rsidRPr="007F5A7A">
        <w:t>to</w:t>
      </w:r>
      <w:r w:rsidRPr="003C303C">
        <w:t xml:space="preserve"> the vehicle.</w:t>
      </w:r>
    </w:p>
    <w:p w:rsidR="008C47E1" w:rsidRPr="007F5A7A"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12</w:t>
      </w:r>
      <w:r w:rsidRPr="007F5A7A">
        <w:fldChar w:fldCharType="end"/>
      </w:r>
      <w:r w:rsidRPr="007F5A7A">
        <w:t>.  The applicant was handcuffed and driven to a forest in the Balakhinskiy District of the Nizhniy Novgorod Region.</w:t>
      </w:r>
    </w:p>
    <w:bookmarkStart w:id="7" w:name="thirteen"/>
    <w:p w:rsidR="008C47E1" w:rsidRPr="00141186"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13</w:t>
      </w:r>
      <w:r w:rsidRPr="007F5A7A">
        <w:fldChar w:fldCharType="end"/>
      </w:r>
      <w:bookmarkEnd w:id="7"/>
      <w:r w:rsidRPr="007F5A7A">
        <w:t>.  According to the applicant, some</w:t>
      </w:r>
      <w:r w:rsidR="00A83C86" w:rsidRPr="00141186">
        <w:t xml:space="preserve"> </w:t>
      </w:r>
      <w:r w:rsidRPr="00AB1F89">
        <w:t xml:space="preserve">time later, another car drove up. S. and a man </w:t>
      </w:r>
      <w:r w:rsidRPr="007104F2">
        <w:t xml:space="preserve">in camouflage with a gun and a plastic bag appeared from </w:t>
      </w:r>
      <w:r w:rsidR="00347690" w:rsidRPr="007F5A7A">
        <w:t xml:space="preserve">the </w:t>
      </w:r>
      <w:r w:rsidRPr="007F5A7A">
        <w:t xml:space="preserve">car. The man in camouflage hit the applicant on the back of the head. The applicant fell </w:t>
      </w:r>
      <w:r w:rsidR="00AF6A4C" w:rsidRPr="003C303C">
        <w:t xml:space="preserve">to </w:t>
      </w:r>
      <w:r w:rsidRPr="003C303C">
        <w:t xml:space="preserve">his knees and the man kicked him </w:t>
      </w:r>
      <w:r w:rsidR="00AF6A4C" w:rsidRPr="003C303C">
        <w:t>in the</w:t>
      </w:r>
      <w:r w:rsidRPr="003C303C">
        <w:t xml:space="preserve"> back. Then S. kicked the applicant in the chest. After </w:t>
      </w:r>
      <w:r w:rsidR="00347690" w:rsidRPr="00141186">
        <w:t>being severely beaten</w:t>
      </w:r>
      <w:r w:rsidRPr="00141186">
        <w:t xml:space="preserve">, the applicant was asked why he had </w:t>
      </w:r>
      <w:r w:rsidR="00347690" w:rsidRPr="00141186">
        <w:t xml:space="preserve">wanted </w:t>
      </w:r>
      <w:r w:rsidRPr="00141186">
        <w:t xml:space="preserve">S. </w:t>
      </w:r>
      <w:r w:rsidR="00347690" w:rsidRPr="00141186">
        <w:t>dead</w:t>
      </w:r>
      <w:r w:rsidRPr="00141186">
        <w:t xml:space="preserve">. The applicant denied his involvement in </w:t>
      </w:r>
      <w:r w:rsidR="00AF6A4C" w:rsidRPr="00141186">
        <w:t xml:space="preserve">the </w:t>
      </w:r>
      <w:r w:rsidRPr="00141186">
        <w:t>attempt on S.</w:t>
      </w:r>
      <w:r w:rsidR="00C5795F">
        <w:t>’</w:t>
      </w:r>
      <w:r w:rsidRPr="00141186">
        <w:t xml:space="preserve">s life. Then the man in camouflage </w:t>
      </w:r>
      <w:r w:rsidR="00AF6A4C" w:rsidRPr="00141186">
        <w:t>rammed</w:t>
      </w:r>
      <w:r w:rsidRPr="00141186">
        <w:t xml:space="preserve"> a gun in the applicant</w:t>
      </w:r>
      <w:r w:rsidR="00C5795F">
        <w:t>’</w:t>
      </w:r>
      <w:r w:rsidRPr="00141186">
        <w:t xml:space="preserve">s mouth, </w:t>
      </w:r>
      <w:r w:rsidR="00AF6A4C" w:rsidRPr="00141186">
        <w:t xml:space="preserve">making </w:t>
      </w:r>
      <w:r w:rsidRPr="00141186">
        <w:t xml:space="preserve">his lower lip bleed. Later, unknown persons put a plastic bag </w:t>
      </w:r>
      <w:r w:rsidR="003C31BE" w:rsidRPr="00141186">
        <w:t xml:space="preserve">over </w:t>
      </w:r>
      <w:r w:rsidRPr="00141186">
        <w:t xml:space="preserve">his head, with a view to suffocating him. The applicant passed out a few times. When he regained consciousness, the </w:t>
      </w:r>
      <w:r w:rsidR="00347690" w:rsidRPr="00141186">
        <w:t>men began beating him again</w:t>
      </w:r>
      <w:r w:rsidRPr="00141186">
        <w:t xml:space="preserve">. Later S. </w:t>
      </w:r>
      <w:r w:rsidR="003C31BE" w:rsidRPr="00141186">
        <w:t>said</w:t>
      </w:r>
      <w:r w:rsidRPr="00141186">
        <w:t xml:space="preserve">: “Take an axe and cut off his leg!” After the applicant saw an axe in the hands of one of the men, he </w:t>
      </w:r>
      <w:r w:rsidR="003C31BE" w:rsidRPr="00141186">
        <w:t>told them he would</w:t>
      </w:r>
      <w:r w:rsidRPr="00141186">
        <w:t xml:space="preserve"> </w:t>
      </w:r>
      <w:r w:rsidR="00347690" w:rsidRPr="00141186">
        <w:t>write whatever</w:t>
      </w:r>
      <w:r w:rsidRPr="00141186">
        <w:t xml:space="preserve"> they wanted. He was given a pen and paper. One of his kidnappers dictated </w:t>
      </w:r>
      <w:r w:rsidR="003C31BE" w:rsidRPr="00141186">
        <w:t xml:space="preserve">several </w:t>
      </w:r>
      <w:r w:rsidRPr="00141186">
        <w:t>written statements</w:t>
      </w:r>
      <w:r w:rsidR="003C31BE" w:rsidRPr="00141186">
        <w:t xml:space="preserve"> to him</w:t>
      </w:r>
      <w:r w:rsidRPr="00141186">
        <w:t xml:space="preserve"> and another one made a video record</w:t>
      </w:r>
      <w:r w:rsidR="003C31BE" w:rsidRPr="00141186">
        <w:t>ing</w:t>
      </w:r>
      <w:r w:rsidRPr="00141186">
        <w:t>. The applicant promised to confess his involvement in the attempt on S.</w:t>
      </w:r>
      <w:r w:rsidR="00C5795F">
        <w:t>’</w:t>
      </w:r>
      <w:r w:rsidRPr="00141186">
        <w:t>s life</w:t>
      </w:r>
      <w:r w:rsidR="003C31BE" w:rsidRPr="00141186">
        <w:t xml:space="preserve"> to a police officer, V</w:t>
      </w:r>
      <w:r w:rsidRPr="00141186">
        <w:t xml:space="preserve">. </w:t>
      </w:r>
      <w:r w:rsidR="003C31BE" w:rsidRPr="00141186">
        <w:t xml:space="preserve">He </w:t>
      </w:r>
      <w:r w:rsidRPr="00141186">
        <w:t>was driven to the police station</w:t>
      </w:r>
      <w:r w:rsidR="003C31BE" w:rsidRPr="00141186">
        <w:t xml:space="preserve"> for this purpose</w:t>
      </w:r>
      <w:r w:rsidRPr="00141186">
        <w:t>.</w:t>
      </w:r>
    </w:p>
    <w:bookmarkStart w:id="8" w:name="fourteen"/>
    <w:p w:rsidR="008C47E1" w:rsidRPr="003C303C"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14</w:t>
      </w:r>
      <w:r w:rsidRPr="007F5A7A">
        <w:fldChar w:fldCharType="end"/>
      </w:r>
      <w:bookmarkEnd w:id="8"/>
      <w:r w:rsidRPr="007F5A7A">
        <w:t xml:space="preserve">.  On </w:t>
      </w:r>
      <w:r w:rsidR="003C31BE" w:rsidRPr="007F5A7A">
        <w:t xml:space="preserve">his </w:t>
      </w:r>
      <w:r w:rsidRPr="007F5A7A">
        <w:t>arrival</w:t>
      </w:r>
      <w:r w:rsidR="003C31BE" w:rsidRPr="007F5A7A">
        <w:t xml:space="preserve"> </w:t>
      </w:r>
      <w:r w:rsidR="003C31BE" w:rsidRPr="003C303C">
        <w:t>there</w:t>
      </w:r>
      <w:r w:rsidRPr="003C303C">
        <w:t xml:space="preserve">, the applicant changed his mind and instead of confessing filed a complaint </w:t>
      </w:r>
      <w:r w:rsidR="00575F01" w:rsidRPr="003C303C">
        <w:t>of</w:t>
      </w:r>
      <w:r w:rsidRPr="003C303C">
        <w:t xml:space="preserve"> ill-treatment by S. and his associates.</w:t>
      </w:r>
    </w:p>
    <w:bookmarkStart w:id="9" w:name="fiveteen"/>
    <w:p w:rsidR="008C47E1" w:rsidRPr="003C303C"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15</w:t>
      </w:r>
      <w:r w:rsidRPr="007F5A7A">
        <w:fldChar w:fldCharType="end"/>
      </w:r>
      <w:bookmarkEnd w:id="9"/>
      <w:r w:rsidRPr="007F5A7A">
        <w:t>.  In the evening the applicant returned home</w:t>
      </w:r>
      <w:r w:rsidR="003C31BE" w:rsidRPr="007F5A7A">
        <w:t>,</w:t>
      </w:r>
      <w:r w:rsidRPr="007F5A7A">
        <w:t xml:space="preserve"> where he was met by his partner, L. </w:t>
      </w:r>
      <w:r w:rsidR="00DC03FC" w:rsidRPr="007F5A7A">
        <w:t>Later that</w:t>
      </w:r>
      <w:r w:rsidRPr="003C303C">
        <w:t xml:space="preserve"> day he went to</w:t>
      </w:r>
      <w:r w:rsidR="00DC03FC" w:rsidRPr="003C303C">
        <w:t xml:space="preserve"> a</w:t>
      </w:r>
      <w:r w:rsidRPr="003C303C">
        <w:t xml:space="preserve"> hospital. The following entry was made in his medical record:</w:t>
      </w:r>
    </w:p>
    <w:p w:rsidR="008C47E1" w:rsidRPr="00141186" w:rsidRDefault="008C47E1" w:rsidP="008C47E1">
      <w:pPr>
        <w:pStyle w:val="JuQuot"/>
      </w:pPr>
      <w:r w:rsidRPr="00141186">
        <w:t>“Date of admission to the hospital: 27.04.2004 at 20.30</w:t>
      </w:r>
    </w:p>
    <w:p w:rsidR="008C47E1" w:rsidRPr="00141186" w:rsidRDefault="008C47E1" w:rsidP="008C47E1">
      <w:pPr>
        <w:pStyle w:val="JuQuot"/>
      </w:pPr>
      <w:r w:rsidRPr="00141186">
        <w:t>Date of discharge from the hospital: 14.05.2004</w:t>
      </w:r>
    </w:p>
    <w:p w:rsidR="008C47E1" w:rsidRPr="00141186" w:rsidRDefault="008C47E1" w:rsidP="008C47E1">
      <w:pPr>
        <w:pStyle w:val="JuQuot"/>
      </w:pPr>
      <w:r w:rsidRPr="00141186">
        <w:t>Department: surgery</w:t>
      </w:r>
    </w:p>
    <w:p w:rsidR="008C47E1" w:rsidRPr="00141186" w:rsidRDefault="00141186" w:rsidP="008C47E1">
      <w:pPr>
        <w:pStyle w:val="JuQuot"/>
      </w:pPr>
      <w:r>
        <w:t>...</w:t>
      </w:r>
    </w:p>
    <w:p w:rsidR="008C47E1" w:rsidRPr="00141186" w:rsidRDefault="008C47E1" w:rsidP="008C47E1">
      <w:pPr>
        <w:pStyle w:val="JuQuot"/>
      </w:pPr>
      <w:r w:rsidRPr="00141186">
        <w:t xml:space="preserve">Diagnosis: </w:t>
      </w:r>
      <w:r w:rsidR="00347690" w:rsidRPr="00141186">
        <w:t xml:space="preserve">contusion of </w:t>
      </w:r>
      <w:r w:rsidRPr="00141186">
        <w:t xml:space="preserve">the right kidney, a brain contusion, </w:t>
      </w:r>
      <w:r w:rsidR="00347690" w:rsidRPr="00141186">
        <w:t xml:space="preserve">bruising </w:t>
      </w:r>
      <w:r w:rsidRPr="00141186">
        <w:t xml:space="preserve">of </w:t>
      </w:r>
      <w:r w:rsidR="00347690" w:rsidRPr="00141186">
        <w:t xml:space="preserve">the </w:t>
      </w:r>
      <w:r w:rsidRPr="00141186">
        <w:t xml:space="preserve">soft tissue of the face and </w:t>
      </w:r>
      <w:r w:rsidR="00347690" w:rsidRPr="00141186">
        <w:t>limbs</w:t>
      </w:r>
      <w:r w:rsidRPr="00141186">
        <w:t xml:space="preserve">, </w:t>
      </w:r>
      <w:r w:rsidR="00347690" w:rsidRPr="00141186">
        <w:t>blood in the urine</w:t>
      </w:r>
      <w:r w:rsidRPr="00141186">
        <w:t xml:space="preserve">, a subarachnoid </w:t>
      </w:r>
      <w:r w:rsidR="00347690" w:rsidRPr="00141186">
        <w:t>haemorrhage</w:t>
      </w:r>
      <w:r w:rsidRPr="00141186">
        <w:t xml:space="preserve"> and a fracture of the right ninth rib.</w:t>
      </w:r>
    </w:p>
    <w:p w:rsidR="008C47E1" w:rsidRPr="00141186" w:rsidRDefault="00141186" w:rsidP="008C47E1">
      <w:pPr>
        <w:pStyle w:val="JuQuot"/>
      </w:pPr>
      <w:r>
        <w:t>...</w:t>
      </w:r>
    </w:p>
    <w:p w:rsidR="00141186" w:rsidRDefault="008C47E1" w:rsidP="008C47E1">
      <w:pPr>
        <w:pStyle w:val="JuQuot"/>
      </w:pPr>
      <w:r w:rsidRPr="00141186">
        <w:t xml:space="preserve">[According to the applicant,] on 27.04.2004 around 10 a.m., close to Svoboda </w:t>
      </w:r>
      <w:r w:rsidR="00DC03FC" w:rsidRPr="00141186">
        <w:t>Square</w:t>
      </w:r>
      <w:r w:rsidRPr="00141186">
        <w:t xml:space="preserve">, he </w:t>
      </w:r>
      <w:r w:rsidR="00DC03FC" w:rsidRPr="00141186">
        <w:t>was</w:t>
      </w:r>
      <w:r w:rsidRPr="00141186">
        <w:t xml:space="preserve"> beaten up by three unknown persons, then he was put in a [car] and driven to Dubravniy</w:t>
      </w:r>
      <w:r w:rsidR="00347690" w:rsidRPr="00141186">
        <w:t>,</w:t>
      </w:r>
      <w:r w:rsidRPr="00141186">
        <w:t xml:space="preserve"> where he was beaten again. He </w:t>
      </w:r>
      <w:r w:rsidR="00DC03FC" w:rsidRPr="00141186">
        <w:t>received blows to the</w:t>
      </w:r>
      <w:r w:rsidRPr="00141186">
        <w:t xml:space="preserve"> head, body and </w:t>
      </w:r>
      <w:r w:rsidR="00347690" w:rsidRPr="00141186">
        <w:t>limbs</w:t>
      </w:r>
      <w:r w:rsidRPr="00141186">
        <w:t xml:space="preserve">. Unknown persons suffocated him </w:t>
      </w:r>
      <w:r w:rsidR="00DC03FC" w:rsidRPr="00141186">
        <w:t xml:space="preserve">with </w:t>
      </w:r>
      <w:r w:rsidRPr="00141186">
        <w:t>a plastic bag. He lost conscious</w:t>
      </w:r>
      <w:r w:rsidR="00DC03FC" w:rsidRPr="00141186">
        <w:t>ness</w:t>
      </w:r>
      <w:r w:rsidRPr="00141186">
        <w:t xml:space="preserve"> a few times</w:t>
      </w:r>
      <w:r w:rsidR="00141186">
        <w:t>...</w:t>
      </w:r>
      <w:r w:rsidRPr="00141186">
        <w:t>”</w:t>
      </w:r>
      <w:bookmarkStart w:id="10" w:name="sixteen"/>
    </w:p>
    <w:bookmarkStart w:id="11" w:name="sixteenq"/>
    <w:p w:rsidR="008C47E1" w:rsidRPr="007F5A7A"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16</w:t>
      </w:r>
      <w:r w:rsidRPr="007F5A7A">
        <w:fldChar w:fldCharType="end"/>
      </w:r>
      <w:bookmarkEnd w:id="10"/>
      <w:bookmarkEnd w:id="11"/>
      <w:r w:rsidRPr="007F5A7A">
        <w:t>.  On 30 April 2004 the applicant was examined by his doctor, an investigator and an expert in the presence of attesting witnesses. The following injuries were established.</w:t>
      </w:r>
    </w:p>
    <w:p w:rsidR="008C47E1" w:rsidRPr="00141186" w:rsidRDefault="008C47E1" w:rsidP="008C47E1">
      <w:pPr>
        <w:pStyle w:val="JuQuot"/>
      </w:pPr>
      <w:r w:rsidRPr="007F5A7A">
        <w:t>“There are two bruises of an irregular</w:t>
      </w:r>
      <w:r w:rsidR="00A56398" w:rsidRPr="007F5A7A">
        <w:t xml:space="preserve"> oval</w:t>
      </w:r>
      <w:r w:rsidRPr="007F5A7A">
        <w:t xml:space="preserve"> shape with blurred border</w:t>
      </w:r>
      <w:r w:rsidR="00A56398" w:rsidRPr="003C303C">
        <w:t>s</w:t>
      </w:r>
      <w:r w:rsidRPr="003C303C">
        <w:t xml:space="preserve"> on the surface</w:t>
      </w:r>
      <w:r w:rsidR="00A56398" w:rsidRPr="003C303C">
        <w:t xml:space="preserve"> of the skin</w:t>
      </w:r>
      <w:r w:rsidRPr="00141186">
        <w:t xml:space="preserve"> close to the right wrist joint and on the dorsal side of the right hand measuring 1.5 </w:t>
      </w:r>
      <w:r w:rsidR="00A56398" w:rsidRPr="00141186">
        <w:t xml:space="preserve">by </w:t>
      </w:r>
      <w:r w:rsidRPr="00141186">
        <w:t xml:space="preserve">2 </w:t>
      </w:r>
      <w:r w:rsidR="00A56398" w:rsidRPr="00141186">
        <w:t xml:space="preserve">cm </w:t>
      </w:r>
      <w:r w:rsidRPr="00141186">
        <w:t xml:space="preserve">and 1 </w:t>
      </w:r>
      <w:r w:rsidR="00A56398" w:rsidRPr="00141186">
        <w:t xml:space="preserve">by </w:t>
      </w:r>
      <w:r w:rsidRPr="00141186">
        <w:t>2.5 cm</w:t>
      </w:r>
      <w:r w:rsidR="00A56398" w:rsidRPr="00141186">
        <w:t xml:space="preserve"> respectively</w:t>
      </w:r>
      <w:r w:rsidRPr="00141186">
        <w:t xml:space="preserve">. </w:t>
      </w:r>
      <w:r w:rsidR="00A56398" w:rsidRPr="00141186">
        <w:t xml:space="preserve">Similar </w:t>
      </w:r>
      <w:r w:rsidRPr="00141186">
        <w:t xml:space="preserve">bruises are located on the front </w:t>
      </w:r>
      <w:r w:rsidR="00A56398" w:rsidRPr="00141186">
        <w:t xml:space="preserve">left </w:t>
      </w:r>
      <w:r w:rsidRPr="00141186">
        <w:t xml:space="preserve">part of the </w:t>
      </w:r>
      <w:r w:rsidR="00A56398" w:rsidRPr="00141186">
        <w:t xml:space="preserve">rib </w:t>
      </w:r>
      <w:r w:rsidRPr="00141186">
        <w:t xml:space="preserve">cage </w:t>
      </w:r>
      <w:r w:rsidR="00A56398" w:rsidRPr="00141186">
        <w:t>on top</w:t>
      </w:r>
      <w:r w:rsidRPr="00141186">
        <w:t xml:space="preserve"> of the third rib measuring 3 to 5 cm. On </w:t>
      </w:r>
      <w:r w:rsidR="00A56398" w:rsidRPr="00141186">
        <w:t xml:space="preserve">the </w:t>
      </w:r>
      <w:r w:rsidRPr="00141186">
        <w:t xml:space="preserve">front of the right thigh there are two bruises measuring 1 </w:t>
      </w:r>
      <w:r w:rsidR="00A56398" w:rsidRPr="00141186">
        <w:t xml:space="preserve">by </w:t>
      </w:r>
      <w:r w:rsidRPr="00141186">
        <w:t xml:space="preserve">2 </w:t>
      </w:r>
      <w:r w:rsidR="00A56398" w:rsidRPr="00141186">
        <w:t xml:space="preserve">cm </w:t>
      </w:r>
      <w:r w:rsidRPr="00141186">
        <w:t xml:space="preserve">and 2 </w:t>
      </w:r>
      <w:r w:rsidR="00A56398" w:rsidRPr="00141186">
        <w:t xml:space="preserve">by </w:t>
      </w:r>
      <w:r w:rsidRPr="00141186">
        <w:t>4 cm</w:t>
      </w:r>
      <w:r w:rsidR="00A56398" w:rsidRPr="00141186">
        <w:t xml:space="preserve"> respectively</w:t>
      </w:r>
      <w:r w:rsidRPr="00141186">
        <w:t xml:space="preserve">. On the back of the left leg there is a bruise measuring 1.5 </w:t>
      </w:r>
      <w:r w:rsidR="00A56398" w:rsidRPr="00141186">
        <w:t xml:space="preserve">by </w:t>
      </w:r>
      <w:r w:rsidRPr="00141186">
        <w:t xml:space="preserve">2 cm. On the frontal part of the left leg there is a bruise measuring 3 </w:t>
      </w:r>
      <w:r w:rsidR="00A56398" w:rsidRPr="00141186">
        <w:t xml:space="preserve">by </w:t>
      </w:r>
      <w:r w:rsidRPr="00141186">
        <w:t xml:space="preserve">4 cm. On the front of the left knee joint there are two bruises measuring 1 </w:t>
      </w:r>
      <w:r w:rsidR="00A56398" w:rsidRPr="00141186">
        <w:t xml:space="preserve">by </w:t>
      </w:r>
      <w:r w:rsidRPr="00141186">
        <w:t xml:space="preserve">3 and 1 </w:t>
      </w:r>
      <w:r w:rsidR="00A56398" w:rsidRPr="00141186">
        <w:t xml:space="preserve">by </w:t>
      </w:r>
      <w:r w:rsidRPr="00141186">
        <w:t>1.5 cm</w:t>
      </w:r>
      <w:r w:rsidR="00A56398" w:rsidRPr="00141186">
        <w:t xml:space="preserve"> respectively</w:t>
      </w:r>
      <w:r w:rsidRPr="00141186">
        <w:t xml:space="preserve">. In the </w:t>
      </w:r>
      <w:r w:rsidR="00A56398" w:rsidRPr="00141186">
        <w:t>middle</w:t>
      </w:r>
      <w:r w:rsidRPr="00141186">
        <w:t xml:space="preserve"> of </w:t>
      </w:r>
      <w:r w:rsidR="00A56398" w:rsidRPr="00141186">
        <w:t>those bruises</w:t>
      </w:r>
      <w:r w:rsidRPr="00141186">
        <w:t xml:space="preserve"> there is a</w:t>
      </w:r>
      <w:r w:rsidR="00A56398" w:rsidRPr="00141186">
        <w:t>n oval-shaped</w:t>
      </w:r>
      <w:r w:rsidRPr="00141186">
        <w:t xml:space="preserve"> scratch measuring 0.7 to 1.5 cm. covered with a </w:t>
      </w:r>
      <w:r w:rsidR="00D97CCE" w:rsidRPr="00141186">
        <w:t>reddish-brown scab</w:t>
      </w:r>
      <w:r w:rsidRPr="00141186">
        <w:t xml:space="preserve">. Two similar bruises are located on the right shoulder measuring 1 </w:t>
      </w:r>
      <w:r w:rsidR="00D97CCE" w:rsidRPr="00141186">
        <w:t xml:space="preserve">by </w:t>
      </w:r>
      <w:r w:rsidRPr="00141186">
        <w:t xml:space="preserve">1.5 and 1 </w:t>
      </w:r>
      <w:r w:rsidR="00D97CCE" w:rsidRPr="00141186">
        <w:t xml:space="preserve">by </w:t>
      </w:r>
      <w:r w:rsidRPr="00141186">
        <w:t>2 cm</w:t>
      </w:r>
      <w:r w:rsidR="00D97CCE" w:rsidRPr="00141186">
        <w:t xml:space="preserve"> respectively</w:t>
      </w:r>
      <w:r w:rsidRPr="00141186">
        <w:t xml:space="preserve">. </w:t>
      </w:r>
      <w:r w:rsidR="00A8732B" w:rsidRPr="00141186">
        <w:t xml:space="preserve">Palpating </w:t>
      </w:r>
      <w:r w:rsidRPr="00141186">
        <w:t>the right temple</w:t>
      </w:r>
      <w:r w:rsidR="00A8732B" w:rsidRPr="00141186">
        <w:t xml:space="preserve"> is painful</w:t>
      </w:r>
      <w:r w:rsidRPr="00141186">
        <w:t xml:space="preserve">. The patient has a </w:t>
      </w:r>
      <w:r w:rsidR="00A8732B" w:rsidRPr="00141186">
        <w:t>burst blood vessel in</w:t>
      </w:r>
      <w:r w:rsidRPr="00141186">
        <w:t xml:space="preserve"> the left eye measuring </w:t>
      </w:r>
      <w:r w:rsidRPr="00141186">
        <w:br/>
        <w:t>0.1 cm.”</w:t>
      </w:r>
    </w:p>
    <w:p w:rsidR="008C47E1" w:rsidRPr="003C303C"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17</w:t>
      </w:r>
      <w:r w:rsidRPr="007F5A7A">
        <w:fldChar w:fldCharType="end"/>
      </w:r>
      <w:r w:rsidR="00B526B3">
        <w:t>.  </w:t>
      </w:r>
      <w:r w:rsidRPr="007F5A7A">
        <w:t>After discharge from the hospital the applicant sent all of his medical documents to a licensed specialist in forensic medicine</w:t>
      </w:r>
      <w:r w:rsidR="00DC03FC" w:rsidRPr="007F5A7A">
        <w:t>,</w:t>
      </w:r>
      <w:r w:rsidRPr="007F5A7A">
        <w:t xml:space="preserve"> who reached</w:t>
      </w:r>
      <w:r w:rsidR="00DC03FC" w:rsidRPr="003C303C">
        <w:t xml:space="preserve"> the following conclusions</w:t>
      </w:r>
      <w:r w:rsidRPr="003C303C">
        <w:t xml:space="preserve"> in </w:t>
      </w:r>
      <w:r w:rsidR="00DC03FC" w:rsidRPr="003C303C">
        <w:t xml:space="preserve">a </w:t>
      </w:r>
      <w:r w:rsidRPr="003C303C">
        <w:t>report of 26 July 2004:</w:t>
      </w:r>
    </w:p>
    <w:p w:rsidR="008C47E1" w:rsidRPr="00141186" w:rsidRDefault="008C47E1" w:rsidP="008C47E1">
      <w:pPr>
        <w:pStyle w:val="JuQuot"/>
      </w:pPr>
      <w:r w:rsidRPr="00141186">
        <w:t>“</w:t>
      </w:r>
      <w:r w:rsidR="00141186">
        <w:t>...</w:t>
      </w:r>
      <w:r w:rsidR="00F420B7">
        <w:t xml:space="preserve"> </w:t>
      </w:r>
      <w:r w:rsidRPr="00141186">
        <w:t>the [applicant</w:t>
      </w:r>
      <w:r w:rsidR="00C5795F">
        <w:t>’</w:t>
      </w:r>
      <w:r w:rsidRPr="00141186">
        <w:t xml:space="preserve">s] injuries </w:t>
      </w:r>
      <w:r w:rsidR="00141186">
        <w:t>...</w:t>
      </w:r>
      <w:r w:rsidRPr="00141186">
        <w:t xml:space="preserve"> could have been inflicted on 27.04.2004 in the circumstances described by the applicant</w:t>
      </w:r>
      <w:r w:rsidR="00F420B7">
        <w:t xml:space="preserve"> </w:t>
      </w:r>
      <w:r w:rsidR="00141186">
        <w:t>...</w:t>
      </w:r>
      <w:r w:rsidRPr="00141186">
        <w:t xml:space="preserve"> </w:t>
      </w:r>
      <w:r w:rsidR="00A56398" w:rsidRPr="00141186">
        <w:t>[His resulting incapacitation for work for]</w:t>
      </w:r>
      <w:r w:rsidRPr="00141186">
        <w:t xml:space="preserve"> twenty</w:t>
      </w:r>
      <w:r w:rsidR="007A357A">
        <w:t>-</w:t>
      </w:r>
      <w:r w:rsidRPr="00141186">
        <w:t>one days enable</w:t>
      </w:r>
      <w:r w:rsidR="00A56398" w:rsidRPr="00141186">
        <w:t>s</w:t>
      </w:r>
      <w:r w:rsidRPr="00141186">
        <w:t xml:space="preserve"> the conclusion that the injuries in question should be classified as inflicting medium</w:t>
      </w:r>
      <w:r w:rsidR="00A56398" w:rsidRPr="00141186">
        <w:t>-severity</w:t>
      </w:r>
      <w:r w:rsidRPr="00141186">
        <w:t xml:space="preserve"> </w:t>
      </w:r>
      <w:r w:rsidR="00A56398" w:rsidRPr="00141186">
        <w:t xml:space="preserve">damage </w:t>
      </w:r>
      <w:r w:rsidRPr="00141186">
        <w:t>to the [applicant</w:t>
      </w:r>
      <w:r w:rsidR="00C5795F">
        <w:t>’</w:t>
      </w:r>
      <w:r w:rsidRPr="00141186">
        <w:t>s] health</w:t>
      </w:r>
      <w:r w:rsidR="00F420B7">
        <w:t xml:space="preserve"> </w:t>
      </w:r>
      <w:r w:rsidR="00141186">
        <w:t>...</w:t>
      </w:r>
      <w:r w:rsidRPr="00141186">
        <w:t>”</w:t>
      </w:r>
    </w:p>
    <w:bookmarkStart w:id="12" w:name="eighteen"/>
    <w:p w:rsidR="008C47E1"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18</w:t>
      </w:r>
      <w:r w:rsidRPr="007F5A7A">
        <w:fldChar w:fldCharType="end"/>
      </w:r>
      <w:bookmarkEnd w:id="12"/>
      <w:r w:rsidRPr="007F5A7A">
        <w:t xml:space="preserve">.  The investigation into the attempt </w:t>
      </w:r>
      <w:r w:rsidR="006F5E13" w:rsidRPr="007F5A7A">
        <w:t xml:space="preserve">on </w:t>
      </w:r>
      <w:r w:rsidRPr="007F5A7A">
        <w:t>S.</w:t>
      </w:r>
      <w:r w:rsidR="00C5795F">
        <w:t>’</w:t>
      </w:r>
      <w:r w:rsidRPr="007F5A7A">
        <w:t xml:space="preserve">s life subsequently abandoned the </w:t>
      </w:r>
      <w:r w:rsidR="006F5E13" w:rsidRPr="003C303C">
        <w:t>theory that</w:t>
      </w:r>
      <w:r w:rsidRPr="003C303C">
        <w:t xml:space="preserve"> the applicant </w:t>
      </w:r>
      <w:r w:rsidR="006F5E13" w:rsidRPr="003C303C">
        <w:t xml:space="preserve">had been involved </w:t>
      </w:r>
      <w:r w:rsidRPr="003C303C">
        <w:t>and its eventual outcome is unclear.</w:t>
      </w:r>
    </w:p>
    <w:bookmarkStart w:id="13" w:name="nineteena"/>
    <w:bookmarkStart w:id="14" w:name="nineteenq"/>
    <w:p w:rsidR="00D02765" w:rsidRDefault="00D02765" w:rsidP="008C47E1">
      <w:pPr>
        <w:pStyle w:val="JuPara"/>
      </w:pPr>
      <w:r>
        <w:fldChar w:fldCharType="begin"/>
      </w:r>
      <w:r>
        <w:instrText xml:space="preserve"> SEQ level0 \*arabic </w:instrText>
      </w:r>
      <w:r>
        <w:fldChar w:fldCharType="separate"/>
      </w:r>
      <w:r w:rsidR="00B41E90">
        <w:rPr>
          <w:noProof/>
        </w:rPr>
        <w:t>19</w:t>
      </w:r>
      <w:r>
        <w:fldChar w:fldCharType="end"/>
      </w:r>
      <w:bookmarkEnd w:id="13"/>
      <w:bookmarkEnd w:id="14"/>
      <w:r>
        <w:t>.  On 7 June 2005 the applicant obtained, for the purposes of the present case, the following statement from his partner L. The statement reads as follows:</w:t>
      </w:r>
    </w:p>
    <w:p w:rsidR="00D02765" w:rsidRPr="00CC4B79" w:rsidRDefault="00D02765" w:rsidP="00D02765">
      <w:pPr>
        <w:pStyle w:val="JuQuot"/>
      </w:pPr>
      <w:r w:rsidRPr="00CC4B79">
        <w:t>“[The applicant] is my partner. On 27 April 2004 at about 10 a.m. we went to work. My partner had no complaints about his health and no bodily injuries. [While] on the bus he noticed that a familiar car was following us. I do not remember the model or the car</w:t>
      </w:r>
      <w:r w:rsidR="00C5795F">
        <w:t>’</w:t>
      </w:r>
      <w:r w:rsidRPr="00CC4B79">
        <w:t>s number plate. I got off at the Minina bus stop and went to work. After arriving at work I phoned [the applicant] but could not reach him. I tried to call several times more [but the applicant did not answer me].</w:t>
      </w:r>
    </w:p>
    <w:p w:rsidR="00141186" w:rsidRDefault="00D02765" w:rsidP="00D02765">
      <w:pPr>
        <w:pStyle w:val="JuQuot"/>
      </w:pPr>
      <w:r w:rsidRPr="00CC4B79">
        <w:t>At about 5 p.m. [the applicant] contacted me and asked me to go home and to not open the door to anybody. At about 6 p.m. I returned home. At about 7.30 p.m. [the applicant] came home. He looked bad. His face was blue. He could hardly move and kept his arm across his chest. His clothes were dirty. He told me that S. with his associates had kidnapped him earlier that day and had driven him to a forest where they had ill-treated him, forcing him to confess to S.</w:t>
      </w:r>
      <w:r w:rsidR="00C5795F">
        <w:t>’</w:t>
      </w:r>
      <w:r w:rsidRPr="00CC4B79">
        <w:t>s attempted murder. He also told me that afterwards he had been driven to a police station to see V.</w:t>
      </w:r>
    </w:p>
    <w:p w:rsidR="00141186" w:rsidRDefault="00D02765" w:rsidP="00D02765">
      <w:pPr>
        <w:pStyle w:val="JuQuot"/>
      </w:pPr>
      <w:r w:rsidRPr="00CC4B79">
        <w:t>Subsequently [the applicant] went to hospital where he was admitted until 14</w:t>
      </w:r>
      <w:r w:rsidRPr="00CC4B79">
        <w:rPr>
          <w:lang w:val="en-US"/>
        </w:rPr>
        <w:t> </w:t>
      </w:r>
      <w:r w:rsidRPr="00CC4B79">
        <w:t>May</w:t>
      </w:r>
      <w:r w:rsidRPr="00CC4B79">
        <w:rPr>
          <w:lang w:val="en-US"/>
        </w:rPr>
        <w:t> </w:t>
      </w:r>
      <w:r w:rsidRPr="00CC4B79">
        <w:t>2005 for inpatient treatment. He later received outpatient treatment there</w:t>
      </w:r>
      <w:r w:rsidR="00F420B7">
        <w:t>.</w:t>
      </w:r>
      <w:r w:rsidRPr="00CC4B79">
        <w:t>”</w:t>
      </w:r>
    </w:p>
    <w:p w:rsidR="008C47E1" w:rsidRPr="007F5A7A" w:rsidRDefault="008C47E1" w:rsidP="008C47E1">
      <w:pPr>
        <w:pStyle w:val="JuHA"/>
      </w:pPr>
      <w:r w:rsidRPr="007F5A7A">
        <w:t>B.</w:t>
      </w:r>
      <w:r w:rsidR="00D02765">
        <w:t>  </w:t>
      </w:r>
      <w:r w:rsidR="00785465" w:rsidRPr="007F5A7A">
        <w:t xml:space="preserve">Criminal </w:t>
      </w:r>
      <w:r w:rsidRPr="007F5A7A">
        <w:t>investigation</w:t>
      </w:r>
    </w:p>
    <w:bookmarkStart w:id="15" w:name="nineteen"/>
    <w:p w:rsidR="008C47E1" w:rsidRPr="003C303C"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20</w:t>
      </w:r>
      <w:r w:rsidRPr="007F5A7A">
        <w:fldChar w:fldCharType="end"/>
      </w:r>
      <w:bookmarkEnd w:id="15"/>
      <w:r w:rsidRPr="007F5A7A">
        <w:t>.  In response to the applicant</w:t>
      </w:r>
      <w:r w:rsidR="00C5795F">
        <w:t>’</w:t>
      </w:r>
      <w:r w:rsidRPr="007F5A7A">
        <w:t xml:space="preserve">s complaint of 27 April 2004 (see paragraph </w:t>
      </w:r>
      <w:r w:rsidR="00C5003E">
        <w:rPr>
          <w:noProof/>
        </w:rPr>
        <w:t>14</w:t>
      </w:r>
      <w:r w:rsidR="00545C8C" w:rsidRPr="007F5A7A">
        <w:t xml:space="preserve"> above</w:t>
      </w:r>
      <w:r w:rsidRPr="007F5A7A">
        <w:t xml:space="preserve">) the Prosecutor </w:t>
      </w:r>
      <w:r w:rsidR="006F5E13" w:rsidRPr="007F5A7A">
        <w:t xml:space="preserve">for </w:t>
      </w:r>
      <w:r w:rsidRPr="003C303C">
        <w:t>the Nizhegorodskiy District of Nizhniy Novgorod (“the Prosecutor</w:t>
      </w:r>
      <w:r w:rsidR="00C5795F">
        <w:t>’</w:t>
      </w:r>
      <w:r w:rsidRPr="003C303C">
        <w:t xml:space="preserve">s Office”) carried out a preliminary check. An investigator questioned M., one of the police officers involved in the </w:t>
      </w:r>
      <w:r w:rsidR="00A0034D">
        <w:t>operative drill</w:t>
      </w:r>
      <w:r w:rsidRPr="007F5A7A">
        <w:t xml:space="preserve">, and S. The documents issued in connection with the </w:t>
      </w:r>
      <w:r w:rsidR="004D2D86" w:rsidRPr="007F5A7A">
        <w:t>drill</w:t>
      </w:r>
      <w:r w:rsidRPr="007F5A7A">
        <w:t xml:space="preserve"> were declassified and the police report of 27 April 2004 containing the summary of what had happened was </w:t>
      </w:r>
      <w:r w:rsidR="006F5E13" w:rsidRPr="003C303C">
        <w:t xml:space="preserve">added </w:t>
      </w:r>
      <w:r w:rsidRPr="003C303C">
        <w:t>to the case file. It reads as follows:</w:t>
      </w:r>
    </w:p>
    <w:p w:rsidR="00141186" w:rsidRDefault="008C47E1" w:rsidP="008C47E1">
      <w:pPr>
        <w:pStyle w:val="JuQuot"/>
      </w:pPr>
      <w:r w:rsidRPr="003C303C">
        <w:t>“At 10.00 a.m. [the police] forced the applicant in</w:t>
      </w:r>
      <w:r w:rsidR="002E0F96" w:rsidRPr="003C303C">
        <w:t>to</w:t>
      </w:r>
      <w:r w:rsidRPr="00141186">
        <w:t xml:space="preserve"> the car with a view to forcing him to talk to the </w:t>
      </w:r>
      <w:r w:rsidR="00C5795F">
        <w:t>‘</w:t>
      </w:r>
      <w:r w:rsidRPr="00141186">
        <w:t>right man</w:t>
      </w:r>
      <w:r w:rsidR="00C5795F">
        <w:t>’</w:t>
      </w:r>
      <w:r w:rsidRPr="00141186">
        <w:t>. The applicant shouted for help and fought. He was counteracted by the police officers.</w:t>
      </w:r>
      <w:r w:rsidR="00141186">
        <w:t xml:space="preserve"> </w:t>
      </w:r>
      <w:r w:rsidRPr="00141186">
        <w:t xml:space="preserve">No injuries were inflicted on him. The car drove [the applicant] to </w:t>
      </w:r>
      <w:r w:rsidR="00C30473" w:rsidRPr="00141186">
        <w:t>the designated location</w:t>
      </w:r>
      <w:r w:rsidRPr="00141186">
        <w:t>, where a police officer disguised as S</w:t>
      </w:r>
      <w:r w:rsidR="002E0F96" w:rsidRPr="00141186">
        <w:t xml:space="preserve"> was waiting</w:t>
      </w:r>
      <w:r w:rsidR="00C30473" w:rsidRPr="00141186">
        <w:t xml:space="preserve"> for him</w:t>
      </w:r>
      <w:r w:rsidRPr="00141186">
        <w:t xml:space="preserve">. </w:t>
      </w:r>
      <w:r w:rsidR="00C30473" w:rsidRPr="00141186">
        <w:t xml:space="preserve">The </w:t>
      </w:r>
      <w:r w:rsidRPr="00141186">
        <w:t>police</w:t>
      </w:r>
      <w:r w:rsidR="002E0F96" w:rsidRPr="00141186">
        <w:t xml:space="preserve"> officer</w:t>
      </w:r>
      <w:r w:rsidRPr="00141186">
        <w:t xml:space="preserve"> imitating S. asked: </w:t>
      </w:r>
      <w:r w:rsidR="00C5795F">
        <w:t>‘</w:t>
      </w:r>
      <w:r w:rsidRPr="00141186">
        <w:t>Why did you shoot me?</w:t>
      </w:r>
      <w:r w:rsidR="00C5795F">
        <w:t>’</w:t>
      </w:r>
      <w:r w:rsidRPr="00141186">
        <w:t xml:space="preserve"> [The applicant] was stressed and showed real fear. [The applicant] answered that he had not been involved in S.</w:t>
      </w:r>
      <w:r w:rsidR="00C5795F">
        <w:t>’</w:t>
      </w:r>
      <w:r w:rsidRPr="00141186">
        <w:t xml:space="preserve">s attempted murder and had no information </w:t>
      </w:r>
      <w:r w:rsidR="00C30473" w:rsidRPr="00141186">
        <w:t>about it</w:t>
      </w:r>
      <w:r w:rsidRPr="00141186">
        <w:t xml:space="preserve">. At the same time [the applicant] told </w:t>
      </w:r>
      <w:r w:rsidR="002E0F96" w:rsidRPr="00141186">
        <w:t xml:space="preserve">him </w:t>
      </w:r>
      <w:r w:rsidRPr="00141186">
        <w:t xml:space="preserve">that on 8 December 2003 </w:t>
      </w:r>
      <w:r w:rsidR="002E0F96" w:rsidRPr="00141186">
        <w:t>at D.M.</w:t>
      </w:r>
      <w:r w:rsidR="00C5795F">
        <w:t>’</w:t>
      </w:r>
      <w:r w:rsidR="002E0F96" w:rsidRPr="00141186">
        <w:t xml:space="preserve">s request </w:t>
      </w:r>
      <w:r w:rsidRPr="00141186">
        <w:t xml:space="preserve">he and Sh. had gone </w:t>
      </w:r>
      <w:r w:rsidR="002E0F96" w:rsidRPr="00141186">
        <w:t>in Sh.</w:t>
      </w:r>
      <w:r w:rsidR="00C5795F">
        <w:t>’</w:t>
      </w:r>
      <w:r w:rsidR="002E0F96" w:rsidRPr="00141186">
        <w:t xml:space="preserve">s car </w:t>
      </w:r>
      <w:r w:rsidRPr="00141186">
        <w:t>to Okskiy to check out a car. For this purpos</w:t>
      </w:r>
      <w:r w:rsidR="002E0F96" w:rsidRPr="00141186">
        <w:t>e</w:t>
      </w:r>
      <w:r w:rsidRPr="00141186">
        <w:t xml:space="preserve">, D.M. </w:t>
      </w:r>
      <w:r w:rsidR="002E0F96" w:rsidRPr="00141186">
        <w:t xml:space="preserve">had </w:t>
      </w:r>
      <w:r w:rsidRPr="00141186">
        <w:t>provided them with a hand</w:t>
      </w:r>
      <w:r w:rsidR="002E0F96" w:rsidRPr="00141186">
        <w:t>-drawn map</w:t>
      </w:r>
      <w:r w:rsidRPr="00141186">
        <w:t xml:space="preserve"> of the car</w:t>
      </w:r>
      <w:r w:rsidR="00C5795F">
        <w:t>’</w:t>
      </w:r>
      <w:r w:rsidRPr="00141186">
        <w:t>s location. [</w:t>
      </w:r>
      <w:r w:rsidR="002E0F96" w:rsidRPr="00141186">
        <w:t xml:space="preserve">The </w:t>
      </w:r>
      <w:r w:rsidRPr="00141186">
        <w:t>applicant]</w:t>
      </w:r>
      <w:r w:rsidR="002E0F96" w:rsidRPr="00141186">
        <w:t xml:space="preserve"> later threw the map away</w:t>
      </w:r>
      <w:r w:rsidRPr="00141186">
        <w:t xml:space="preserve">. </w:t>
      </w:r>
      <w:r w:rsidR="002E0F96" w:rsidRPr="00141186">
        <w:t>[While] at the location</w:t>
      </w:r>
      <w:r w:rsidRPr="00141186">
        <w:t xml:space="preserve"> [the applicant] spoke with D.M. and D.A. by phone. Later [the applicant] </w:t>
      </w:r>
      <w:r w:rsidR="002E0F96" w:rsidRPr="00141186">
        <w:t xml:space="preserve">went </w:t>
      </w:r>
      <w:r w:rsidRPr="00141186">
        <w:t>back to [work]. He did not know that the car had been used in S.</w:t>
      </w:r>
      <w:r w:rsidR="00C5795F">
        <w:t>’</w:t>
      </w:r>
      <w:r w:rsidRPr="00141186">
        <w:t>s attempted murder</w:t>
      </w:r>
      <w:r w:rsidR="007A357A">
        <w:t xml:space="preserve"> </w:t>
      </w:r>
      <w:r w:rsidR="00141186">
        <w:t>...</w:t>
      </w:r>
    </w:p>
    <w:p w:rsidR="008C47E1" w:rsidRPr="007F5A7A" w:rsidRDefault="008C47E1" w:rsidP="008C47E1">
      <w:pPr>
        <w:pStyle w:val="JuQuot"/>
      </w:pPr>
      <w:r w:rsidRPr="00141186">
        <w:t>In this connection [the applicant] was invited to write down his statements in a report, addressed to the Prosecutor</w:t>
      </w:r>
      <w:r w:rsidR="00C5795F">
        <w:t>’</w:t>
      </w:r>
      <w:r w:rsidRPr="00141186">
        <w:t xml:space="preserve">s Office. The applicant </w:t>
      </w:r>
      <w:r w:rsidR="002E0F96" w:rsidRPr="00141186">
        <w:t>agreed to do so</w:t>
      </w:r>
      <w:r w:rsidRPr="00141186">
        <w:t xml:space="preserve">. He was </w:t>
      </w:r>
      <w:r w:rsidR="002E0F96" w:rsidRPr="00141186">
        <w:t>advised to take</w:t>
      </w:r>
      <w:r w:rsidRPr="00141186">
        <w:t xml:space="preserve"> </w:t>
      </w:r>
      <w:r w:rsidR="00C30473" w:rsidRPr="00141186">
        <w:t xml:space="preserve">the report </w:t>
      </w:r>
      <w:r w:rsidRPr="00141186">
        <w:t xml:space="preserve">to a </w:t>
      </w:r>
      <w:r w:rsidR="002E0F96" w:rsidRPr="00141186">
        <w:t>law-</w:t>
      </w:r>
      <w:r w:rsidRPr="00141186">
        <w:t xml:space="preserve">enforcement authority. The applicant agreed to file it </w:t>
      </w:r>
      <w:r w:rsidR="002E0F96" w:rsidRPr="00141186">
        <w:t xml:space="preserve">with </w:t>
      </w:r>
      <w:r w:rsidRPr="00141186">
        <w:t xml:space="preserve">V. During </w:t>
      </w:r>
      <w:r w:rsidR="002E0F96" w:rsidRPr="00141186">
        <w:t>this discussion</w:t>
      </w:r>
      <w:r w:rsidRPr="00141186">
        <w:t xml:space="preserve"> the applicant asked </w:t>
      </w:r>
      <w:r w:rsidR="002E0F96" w:rsidRPr="00141186">
        <w:t xml:space="preserve">for </w:t>
      </w:r>
      <w:r w:rsidRPr="00141186">
        <w:t xml:space="preserve">alcohol and money for his services, complaining about </w:t>
      </w:r>
      <w:r w:rsidR="002E0F96" w:rsidRPr="00141186">
        <w:t xml:space="preserve">the </w:t>
      </w:r>
      <w:r w:rsidRPr="00141186">
        <w:t xml:space="preserve">poor conditions of his life and </w:t>
      </w:r>
      <w:r w:rsidR="002E0F96" w:rsidRPr="00141186">
        <w:t>low</w:t>
      </w:r>
      <w:r w:rsidRPr="00141186">
        <w:t xml:space="preserve"> salary of 4,000</w:t>
      </w:r>
      <w:r w:rsidR="00AB1F89">
        <w:t> </w:t>
      </w:r>
      <w:r w:rsidRPr="007F5A7A">
        <w:t>roubles.</w:t>
      </w:r>
    </w:p>
    <w:p w:rsidR="008C47E1" w:rsidRPr="007F5A7A" w:rsidRDefault="008C47E1" w:rsidP="008C47E1">
      <w:pPr>
        <w:pStyle w:val="JuQuot"/>
      </w:pPr>
      <w:r w:rsidRPr="007F5A7A">
        <w:t xml:space="preserve">At 1.15 p.m. V. was informed </w:t>
      </w:r>
      <w:r w:rsidR="002E0F96" w:rsidRPr="007F5A7A">
        <w:t xml:space="preserve">of the </w:t>
      </w:r>
      <w:r w:rsidRPr="007F5A7A">
        <w:t xml:space="preserve">results of the </w:t>
      </w:r>
      <w:r w:rsidR="004D2D86" w:rsidRPr="003C303C">
        <w:t>operational drill</w:t>
      </w:r>
      <w:r w:rsidRPr="003C303C">
        <w:t xml:space="preserve">. V. ordered </w:t>
      </w:r>
      <w:r w:rsidR="002E0F96" w:rsidRPr="003C303C">
        <w:t>that</w:t>
      </w:r>
      <w:r w:rsidRPr="003C303C">
        <w:t xml:space="preserve"> [the applicant] </w:t>
      </w:r>
      <w:r w:rsidR="002E0F96" w:rsidRPr="00141186">
        <w:t xml:space="preserve">be brought </w:t>
      </w:r>
      <w:r w:rsidRPr="00141186">
        <w:t xml:space="preserve">to the police station. This instruction was put into effect. The </w:t>
      </w:r>
      <w:r w:rsidR="00A0034D">
        <w:t>operative drill</w:t>
      </w:r>
      <w:r w:rsidRPr="007F5A7A">
        <w:t xml:space="preserve"> was finished at 2 p.m.”</w:t>
      </w:r>
    </w:p>
    <w:bookmarkStart w:id="16" w:name="twentyone"/>
    <w:p w:rsidR="008C47E1" w:rsidRPr="00141186"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21</w:t>
      </w:r>
      <w:r w:rsidRPr="007F5A7A">
        <w:fldChar w:fldCharType="end"/>
      </w:r>
      <w:bookmarkEnd w:id="16"/>
      <w:r w:rsidRPr="007F5A7A">
        <w:t xml:space="preserve">.  On 2, 21 June and 17 July 2004, following </w:t>
      </w:r>
      <w:r w:rsidR="00885779" w:rsidRPr="007F5A7A">
        <w:t xml:space="preserve">the </w:t>
      </w:r>
      <w:r w:rsidRPr="007F5A7A">
        <w:t xml:space="preserve">orders of the investigative authorities, the applicant was examined by doctors who inspected his general appearance, </w:t>
      </w:r>
      <w:r w:rsidR="00B44BE1" w:rsidRPr="003C303C">
        <w:t xml:space="preserve">the </w:t>
      </w:r>
      <w:r w:rsidRPr="003C303C">
        <w:t xml:space="preserve">condition of his skin and </w:t>
      </w:r>
      <w:r w:rsidR="007D1BFF" w:rsidRPr="003C303C">
        <w:t>gave him a general physical examination</w:t>
      </w:r>
      <w:r w:rsidRPr="00141186">
        <w:t>. No injuries on the applicant</w:t>
      </w:r>
      <w:r w:rsidR="00C5795F">
        <w:t>’</w:t>
      </w:r>
      <w:r w:rsidRPr="00141186">
        <w:t>s body, except a scar on his palm, were established. These findings were reflected in three expert reports.</w:t>
      </w:r>
    </w:p>
    <w:bookmarkStart w:id="17" w:name="twentytwo"/>
    <w:p w:rsidR="008C47E1" w:rsidRPr="00141186"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22</w:t>
      </w:r>
      <w:r w:rsidRPr="007F5A7A">
        <w:fldChar w:fldCharType="end"/>
      </w:r>
      <w:bookmarkEnd w:id="17"/>
      <w:r w:rsidRPr="007F5A7A">
        <w:t>.  On 16 August 2004 the Prosecutor</w:t>
      </w:r>
      <w:r w:rsidR="00C5795F">
        <w:t>’</w:t>
      </w:r>
      <w:r w:rsidRPr="007F5A7A">
        <w:t xml:space="preserve">s Office refused to institute criminal proceedings </w:t>
      </w:r>
      <w:r w:rsidR="009F42AD" w:rsidRPr="007F5A7A">
        <w:t xml:space="preserve">concerning </w:t>
      </w:r>
      <w:r w:rsidRPr="003C303C">
        <w:t>the applicant</w:t>
      </w:r>
      <w:r w:rsidR="00C5795F">
        <w:t>’</w:t>
      </w:r>
      <w:r w:rsidRPr="003C303C">
        <w:t xml:space="preserve">s </w:t>
      </w:r>
      <w:r w:rsidR="00575F01" w:rsidRPr="003C303C">
        <w:t>complaint</w:t>
      </w:r>
      <w:r w:rsidRPr="003C303C">
        <w:t>. The refusal reads as follow</w:t>
      </w:r>
      <w:r w:rsidR="00BE56D0" w:rsidRPr="003C303C">
        <w:t>s</w:t>
      </w:r>
      <w:r w:rsidRPr="00141186">
        <w:t>:</w:t>
      </w:r>
    </w:p>
    <w:p w:rsidR="00141186" w:rsidRDefault="008C47E1" w:rsidP="008C47E1">
      <w:pPr>
        <w:pStyle w:val="JuQuot"/>
      </w:pPr>
      <w:r w:rsidRPr="00141186">
        <w:t xml:space="preserve">“On 27 April 2004 [the applicant] </w:t>
      </w:r>
      <w:r w:rsidR="0061774E" w:rsidRPr="00141186">
        <w:t xml:space="preserve">contacted </w:t>
      </w:r>
      <w:r w:rsidRPr="00141186">
        <w:t>the Prosecutor</w:t>
      </w:r>
      <w:r w:rsidR="00C5795F">
        <w:t>’</w:t>
      </w:r>
      <w:r w:rsidRPr="00141186">
        <w:t xml:space="preserve">s Office, </w:t>
      </w:r>
      <w:r w:rsidR="0061774E" w:rsidRPr="00141186">
        <w:t xml:space="preserve">demanding the </w:t>
      </w:r>
      <w:r w:rsidRPr="00141186">
        <w:t xml:space="preserve">criminal prosecution of S and members of his personal security service who at about 10 a.m. on 27 April 2004 kidnapped him from a bus stop on Svoboba </w:t>
      </w:r>
      <w:r w:rsidR="0061774E" w:rsidRPr="00141186">
        <w:t>Square</w:t>
      </w:r>
      <w:r w:rsidRPr="00141186">
        <w:t>. He was forced in</w:t>
      </w:r>
      <w:r w:rsidR="0061774E" w:rsidRPr="00141186">
        <w:t>to</w:t>
      </w:r>
      <w:r w:rsidRPr="00141186">
        <w:t xml:space="preserve"> a [car] and driven to a forest close to Dubravniy where he was beaten for two </w:t>
      </w:r>
      <w:r w:rsidR="0061774E" w:rsidRPr="00141186">
        <w:t xml:space="preserve">to </w:t>
      </w:r>
      <w:r w:rsidRPr="00141186">
        <w:t xml:space="preserve">three hours. The kidnappers beat him and </w:t>
      </w:r>
      <w:r w:rsidR="0061774E" w:rsidRPr="00141186">
        <w:t xml:space="preserve">made </w:t>
      </w:r>
      <w:r w:rsidRPr="00141186">
        <w:t xml:space="preserve">threats to his life. They </w:t>
      </w:r>
      <w:r w:rsidR="0061774E" w:rsidRPr="00141186">
        <w:t xml:space="preserve">told </w:t>
      </w:r>
      <w:r w:rsidRPr="00141186">
        <w:t>[the applicant] to confess and to prepare a written statement in which</w:t>
      </w:r>
      <w:r w:rsidR="0061774E" w:rsidRPr="00141186">
        <w:t xml:space="preserve"> </w:t>
      </w:r>
      <w:r w:rsidRPr="00141186">
        <w:t>[</w:t>
      </w:r>
      <w:r w:rsidR="0061774E" w:rsidRPr="00141186">
        <w:t xml:space="preserve">it is stated that </w:t>
      </w:r>
      <w:r w:rsidRPr="00141186">
        <w:t xml:space="preserve">the applicant], D.A. and D.M. </w:t>
      </w:r>
      <w:r w:rsidR="0061774E" w:rsidRPr="00141186">
        <w:t xml:space="preserve">were </w:t>
      </w:r>
      <w:r w:rsidRPr="00141186">
        <w:t xml:space="preserve">guilty of </w:t>
      </w:r>
      <w:r w:rsidR="0061774E" w:rsidRPr="00141186">
        <w:t xml:space="preserve">attempting to murder </w:t>
      </w:r>
      <w:r w:rsidRPr="00141186">
        <w:t xml:space="preserve">S. [The applicant] repeated </w:t>
      </w:r>
      <w:r w:rsidR="00C30473" w:rsidRPr="00141186">
        <w:t>[this]</w:t>
      </w:r>
      <w:r w:rsidRPr="00141186">
        <w:t xml:space="preserve"> during his examination as a witness and during a crime scene </w:t>
      </w:r>
      <w:r w:rsidR="00C30473" w:rsidRPr="00141186">
        <w:t>reconstruction</w:t>
      </w:r>
      <w:r w:rsidRPr="00141186">
        <w:t xml:space="preserve">. However, during the crime scene </w:t>
      </w:r>
      <w:r w:rsidR="00C30473" w:rsidRPr="00141186">
        <w:t xml:space="preserve">reconstruction </w:t>
      </w:r>
      <w:r w:rsidRPr="00141186">
        <w:t xml:space="preserve">he could not point </w:t>
      </w:r>
      <w:r w:rsidR="0061774E" w:rsidRPr="00141186">
        <w:t xml:space="preserve">to the </w:t>
      </w:r>
      <w:r w:rsidRPr="00141186">
        <w:t>exact place where he had been beaten by the kidnappers.</w:t>
      </w:r>
    </w:p>
    <w:p w:rsidR="008C47E1" w:rsidRPr="00141186" w:rsidRDefault="008C47E1" w:rsidP="008C47E1">
      <w:pPr>
        <w:pStyle w:val="JuQuot"/>
      </w:pPr>
      <w:r w:rsidRPr="00141186">
        <w:t xml:space="preserve">According to the applicant, after this incident, at 8.30 p.m. on 27 April 2004 he went to [a hospital] where doctors diagnosed </w:t>
      </w:r>
      <w:r w:rsidR="00347690" w:rsidRPr="00141186">
        <w:t xml:space="preserve">contusion of </w:t>
      </w:r>
      <w:r w:rsidRPr="00141186">
        <w:t xml:space="preserve">the right kidney, brain contusion, </w:t>
      </w:r>
      <w:r w:rsidR="00347690" w:rsidRPr="00141186">
        <w:t xml:space="preserve">bruising </w:t>
      </w:r>
      <w:r w:rsidRPr="00141186">
        <w:t xml:space="preserve">of </w:t>
      </w:r>
      <w:r w:rsidR="00347690" w:rsidRPr="00141186">
        <w:t xml:space="preserve">the </w:t>
      </w:r>
      <w:r w:rsidRPr="00141186">
        <w:t xml:space="preserve">soft tissue of the face and </w:t>
      </w:r>
      <w:r w:rsidR="00347690" w:rsidRPr="00141186">
        <w:t>limbs</w:t>
      </w:r>
      <w:r w:rsidRPr="00141186">
        <w:t xml:space="preserve">, </w:t>
      </w:r>
      <w:r w:rsidR="00347690" w:rsidRPr="00141186">
        <w:t>blood in the urine</w:t>
      </w:r>
      <w:r w:rsidRPr="00141186">
        <w:t xml:space="preserve">, subarachnoid </w:t>
      </w:r>
      <w:r w:rsidR="00347690" w:rsidRPr="00141186">
        <w:t>haemorrhage</w:t>
      </w:r>
      <w:r w:rsidRPr="00141186">
        <w:t>, fracture of the right ninth rib.</w:t>
      </w:r>
    </w:p>
    <w:p w:rsidR="008C47E1" w:rsidRPr="00141186" w:rsidRDefault="008C47E1" w:rsidP="008C47E1">
      <w:pPr>
        <w:pStyle w:val="JuQuot"/>
      </w:pPr>
      <w:r w:rsidRPr="00141186">
        <w:t xml:space="preserve">However the preliminary investigation established that on 27 April 2004 [police officers] had performed an </w:t>
      </w:r>
      <w:r w:rsidR="00A0034D">
        <w:t>operative drill</w:t>
      </w:r>
      <w:r w:rsidR="004D2D86" w:rsidRPr="007F5A7A">
        <w:t xml:space="preserve"> involving</w:t>
      </w:r>
      <w:r w:rsidRPr="007F5A7A">
        <w:t xml:space="preserve"> the applicant on the basis of </w:t>
      </w:r>
      <w:r w:rsidR="0061774E" w:rsidRPr="007F5A7A">
        <w:t xml:space="preserve">an </w:t>
      </w:r>
      <w:r w:rsidRPr="007F5A7A">
        <w:t xml:space="preserve">order of 21 April 2004 issued by the Deputy Head of the Nizhniy Novgorod Regional Department of the Interior in order to </w:t>
      </w:r>
      <w:r w:rsidR="0061774E" w:rsidRPr="003C303C">
        <w:t xml:space="preserve">assess </w:t>
      </w:r>
      <w:r w:rsidRPr="003C303C">
        <w:t>the applicant</w:t>
      </w:r>
      <w:r w:rsidR="00C5795F">
        <w:t>’</w:t>
      </w:r>
      <w:r w:rsidRPr="003C303C">
        <w:t>s involvement in S.</w:t>
      </w:r>
      <w:r w:rsidR="00C5795F">
        <w:t>’</w:t>
      </w:r>
      <w:r w:rsidRPr="003C303C">
        <w:t xml:space="preserve">s attempted murder. In the course of the </w:t>
      </w:r>
      <w:r w:rsidR="00A0034D">
        <w:t>operative drill</w:t>
      </w:r>
      <w:r w:rsidRPr="007F5A7A">
        <w:t xml:space="preserve"> the applicant was driven to a forest in </w:t>
      </w:r>
      <w:r w:rsidR="0061774E" w:rsidRPr="007F5A7A">
        <w:t xml:space="preserve">the </w:t>
      </w:r>
      <w:r w:rsidRPr="007F5A7A">
        <w:t>Balakhinskiy District of the Nizhniy Novgorod Region. [The applicant] explained that</w:t>
      </w:r>
      <w:r w:rsidR="00D83156" w:rsidRPr="007F5A7A">
        <w:t>, upon D.M.</w:t>
      </w:r>
      <w:r w:rsidR="00C5795F">
        <w:t>’</w:t>
      </w:r>
      <w:r w:rsidR="00D83156" w:rsidRPr="007F5A7A">
        <w:t xml:space="preserve">s </w:t>
      </w:r>
      <w:r w:rsidR="00D83156" w:rsidRPr="003C303C">
        <w:t>request,</w:t>
      </w:r>
      <w:r w:rsidRPr="003C303C">
        <w:t xml:space="preserve"> on 8 December 2003 he and Sh. had towed [a car] located in Okskiy. This car was used in </w:t>
      </w:r>
      <w:r w:rsidR="00C30473" w:rsidRPr="003C303C">
        <w:t xml:space="preserve">an </w:t>
      </w:r>
      <w:r w:rsidRPr="003C303C">
        <w:t>attempt on S.</w:t>
      </w:r>
      <w:r w:rsidR="00C5795F">
        <w:t>’</w:t>
      </w:r>
      <w:r w:rsidR="00D83156" w:rsidRPr="00141186">
        <w:t>s life.</w:t>
      </w:r>
      <w:r w:rsidRPr="00141186">
        <w:t xml:space="preserve"> [The applicant] also noted that D.M. and D.A. </w:t>
      </w:r>
      <w:r w:rsidR="0061774E" w:rsidRPr="00141186">
        <w:t xml:space="preserve">had </w:t>
      </w:r>
      <w:r w:rsidRPr="00141186">
        <w:t>instructed him as to what he should say to the police</w:t>
      </w:r>
      <w:r w:rsidR="00D83156" w:rsidRPr="00141186">
        <w:t xml:space="preserve"> [if stopped]</w:t>
      </w:r>
      <w:r w:rsidRPr="00141186">
        <w:t xml:space="preserve">. They wanted him to state that they </w:t>
      </w:r>
      <w:r w:rsidR="00D83156" w:rsidRPr="00141186">
        <w:t>were going</w:t>
      </w:r>
      <w:r w:rsidRPr="00141186">
        <w:t xml:space="preserve"> to a cemetery in the Avtozavodskoy District of Nizhniy Novgorod</w:t>
      </w:r>
      <w:r w:rsidR="00D83156" w:rsidRPr="00141186">
        <w:t>,</w:t>
      </w:r>
      <w:r w:rsidRPr="00141186">
        <w:t xml:space="preserve"> </w:t>
      </w:r>
      <w:r w:rsidR="00D83156" w:rsidRPr="00141186">
        <w:t xml:space="preserve">passing through Okskiy </w:t>
      </w:r>
      <w:r w:rsidRPr="00141186">
        <w:t>on the way there.</w:t>
      </w:r>
    </w:p>
    <w:p w:rsidR="008C47E1" w:rsidRPr="003C303C" w:rsidRDefault="008C47E1" w:rsidP="008C47E1">
      <w:pPr>
        <w:pStyle w:val="JuQuot"/>
      </w:pPr>
      <w:r w:rsidRPr="00141186">
        <w:t xml:space="preserve">In the course of the </w:t>
      </w:r>
      <w:r w:rsidR="00A0034D">
        <w:t>operative drill</w:t>
      </w:r>
      <w:r w:rsidRPr="007F5A7A">
        <w:t xml:space="preserve"> no violence was used against the applicant. </w:t>
      </w:r>
      <w:r w:rsidR="0061774E" w:rsidRPr="007F5A7A">
        <w:t>There was no use or brandishing of firearms or [other] weapons [during the</w:t>
      </w:r>
      <w:r w:rsidR="00C30473" w:rsidRPr="007F5A7A">
        <w:t xml:space="preserve"> </w:t>
      </w:r>
      <w:r w:rsidR="004D2D86" w:rsidRPr="003C303C">
        <w:t>drill</w:t>
      </w:r>
      <w:r w:rsidR="0061774E" w:rsidRPr="003C303C">
        <w:t>]</w:t>
      </w:r>
      <w:r w:rsidRPr="003C303C">
        <w:t>.</w:t>
      </w:r>
    </w:p>
    <w:p w:rsidR="00141186" w:rsidRDefault="008C47E1" w:rsidP="008C47E1">
      <w:pPr>
        <w:pStyle w:val="JuQuot"/>
      </w:pPr>
      <w:r w:rsidRPr="003C303C">
        <w:t xml:space="preserve">The </w:t>
      </w:r>
      <w:r w:rsidR="00A0034D">
        <w:t>operative drill</w:t>
      </w:r>
      <w:r w:rsidRPr="007F5A7A">
        <w:t xml:space="preserve"> was audio and video recorded by a </w:t>
      </w:r>
      <w:r w:rsidR="0061774E" w:rsidRPr="007F5A7A">
        <w:t>hid</w:t>
      </w:r>
      <w:r w:rsidR="00C30473" w:rsidRPr="007F5A7A">
        <w:t>d</w:t>
      </w:r>
      <w:r w:rsidR="0061774E" w:rsidRPr="007F5A7A">
        <w:t xml:space="preserve">en </w:t>
      </w:r>
      <w:r w:rsidRPr="003C303C">
        <w:t>camera.</w:t>
      </w:r>
    </w:p>
    <w:p w:rsidR="008C47E1" w:rsidRPr="003C303C" w:rsidRDefault="008C47E1" w:rsidP="008C47E1">
      <w:pPr>
        <w:pStyle w:val="JuQuot"/>
      </w:pPr>
      <w:r w:rsidRPr="003C303C">
        <w:t xml:space="preserve">The </w:t>
      </w:r>
      <w:r w:rsidR="00A0034D">
        <w:t>operative drill</w:t>
      </w:r>
      <w:r w:rsidRPr="007F5A7A">
        <w:t xml:space="preserve"> was performed in accordance with </w:t>
      </w:r>
      <w:r w:rsidR="0061774E" w:rsidRPr="007F5A7A">
        <w:t xml:space="preserve">sections </w:t>
      </w:r>
      <w:r w:rsidR="007A357A">
        <w:t>6</w:t>
      </w:r>
      <w:r w:rsidRPr="007F5A7A">
        <w:t>–11 of the Operational Sea</w:t>
      </w:r>
      <w:r w:rsidRPr="003C303C">
        <w:t>rch Activities Act.</w:t>
      </w:r>
    </w:p>
    <w:p w:rsidR="008C47E1" w:rsidRPr="007F5A7A" w:rsidRDefault="008C47E1" w:rsidP="008C47E1">
      <w:pPr>
        <w:pStyle w:val="JuQuot"/>
      </w:pPr>
      <w:r w:rsidRPr="003C303C">
        <w:t>The aforementioned findings are confirmed by statements of M</w:t>
      </w:r>
      <w:r w:rsidR="0061774E" w:rsidRPr="003C303C">
        <w:t>.</w:t>
      </w:r>
      <w:r w:rsidRPr="003C303C">
        <w:t xml:space="preserve">, who </w:t>
      </w:r>
      <w:r w:rsidR="0061774E" w:rsidRPr="00141186">
        <w:t>was</w:t>
      </w:r>
      <w:r w:rsidRPr="00141186">
        <w:t xml:space="preserve"> involved in the </w:t>
      </w:r>
      <w:r w:rsidR="00A0034D">
        <w:t>operative drill</w:t>
      </w:r>
      <w:r w:rsidRPr="007F5A7A">
        <w:t xml:space="preserve"> and who has been questioned as a witness.</w:t>
      </w:r>
    </w:p>
    <w:p w:rsidR="008C47E1" w:rsidRPr="007F5A7A" w:rsidRDefault="004D2D86" w:rsidP="008C47E1">
      <w:pPr>
        <w:pStyle w:val="JuQuot"/>
      </w:pPr>
      <w:r w:rsidRPr="007F5A7A">
        <w:t xml:space="preserve">A report of the </w:t>
      </w:r>
      <w:r w:rsidR="00A0034D">
        <w:t>operative drill</w:t>
      </w:r>
      <w:r w:rsidR="008C47E1" w:rsidRPr="007F5A7A">
        <w:t xml:space="preserve"> </w:t>
      </w:r>
      <w:r w:rsidRPr="007F5A7A">
        <w:t xml:space="preserve">was </w:t>
      </w:r>
      <w:r w:rsidR="008C47E1" w:rsidRPr="007F5A7A">
        <w:t xml:space="preserve">declassified and joined to case file </w:t>
      </w:r>
      <w:r w:rsidR="008C47E1" w:rsidRPr="007F5A7A">
        <w:br/>
        <w:t>no. 69727.</w:t>
      </w:r>
    </w:p>
    <w:p w:rsidR="008C47E1" w:rsidRPr="00141186" w:rsidRDefault="008C47E1" w:rsidP="008C47E1">
      <w:pPr>
        <w:pStyle w:val="JuQuot"/>
      </w:pPr>
      <w:r w:rsidRPr="003C303C">
        <w:t>S.</w:t>
      </w:r>
      <w:r w:rsidR="00C30473" w:rsidRPr="003C303C">
        <w:t>,</w:t>
      </w:r>
      <w:r w:rsidRPr="003C303C">
        <w:t xml:space="preserve"> who was examined by the police [as a witness]</w:t>
      </w:r>
      <w:r w:rsidR="00C30473" w:rsidRPr="003C303C">
        <w:t>,</w:t>
      </w:r>
      <w:r w:rsidRPr="00141186">
        <w:t xml:space="preserve"> explained that on 27 April 2004 from 10 a.m. to 6 p.m. he had been in his office (except a lunch break for one hour). He </w:t>
      </w:r>
      <w:r w:rsidR="0061774E" w:rsidRPr="00141186">
        <w:t xml:space="preserve">had </w:t>
      </w:r>
      <w:r w:rsidRPr="00141186">
        <w:t>not give</w:t>
      </w:r>
      <w:r w:rsidR="0061774E" w:rsidRPr="00141186">
        <w:t>n</w:t>
      </w:r>
      <w:r w:rsidRPr="00141186">
        <w:t xml:space="preserve"> orders to his personal security service </w:t>
      </w:r>
      <w:r w:rsidR="0061774E" w:rsidRPr="00141186">
        <w:t>concerning</w:t>
      </w:r>
      <w:r w:rsidRPr="00141186">
        <w:t xml:space="preserve"> [the applicant</w:t>
      </w:r>
      <w:r w:rsidR="00C5795F">
        <w:t>’</w:t>
      </w:r>
      <w:r w:rsidRPr="00141186">
        <w:t>s] kidnapping.</w:t>
      </w:r>
    </w:p>
    <w:p w:rsidR="008C47E1" w:rsidRPr="00141186" w:rsidRDefault="008C47E1" w:rsidP="008C47E1">
      <w:pPr>
        <w:pStyle w:val="JuQuot"/>
      </w:pPr>
      <w:r w:rsidRPr="00141186">
        <w:t>S.</w:t>
      </w:r>
      <w:r w:rsidR="00C5795F">
        <w:t>’</w:t>
      </w:r>
      <w:r w:rsidRPr="00141186">
        <w:t xml:space="preserve">s statements are confirmed by the statements of </w:t>
      </w:r>
      <w:smartTag w:uri="urn:schemas-microsoft-com:office:smarttags" w:element="place">
        <w:r w:rsidRPr="00141186">
          <w:t>I.</w:t>
        </w:r>
      </w:smartTag>
      <w:r w:rsidRPr="00141186">
        <w:t xml:space="preserve"> [the identity of this person is unclear]</w:t>
      </w:r>
    </w:p>
    <w:p w:rsidR="008C47E1" w:rsidRPr="00141186" w:rsidRDefault="008C47E1" w:rsidP="008C47E1">
      <w:pPr>
        <w:pStyle w:val="JuQuot"/>
      </w:pPr>
      <w:r w:rsidRPr="00141186">
        <w:t xml:space="preserve">From the aforementioned it follows that S. did not commit a criminal offence prohibited by </w:t>
      </w:r>
      <w:r w:rsidR="00191B63" w:rsidRPr="00141186">
        <w:t xml:space="preserve">Articles </w:t>
      </w:r>
      <w:r w:rsidRPr="00141186">
        <w:t>116, 119 and 126 of the Criminal Code of Russia.”</w:t>
      </w:r>
    </w:p>
    <w:bookmarkStart w:id="18" w:name="twentythreea"/>
    <w:p w:rsidR="00141186"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23</w:t>
      </w:r>
      <w:r w:rsidRPr="007F5A7A">
        <w:fldChar w:fldCharType="end"/>
      </w:r>
      <w:bookmarkEnd w:id="18"/>
      <w:r w:rsidR="00B526B3">
        <w:t>.  </w:t>
      </w:r>
      <w:r w:rsidR="0001669E" w:rsidRPr="007F5A7A">
        <w:t xml:space="preserve">The </w:t>
      </w:r>
      <w:r w:rsidRPr="007F5A7A">
        <w:t>applicant learned about the police involvement in the incident of 27 April 2004</w:t>
      </w:r>
      <w:r w:rsidR="004E3471" w:rsidRPr="003C303C">
        <w:t xml:space="preserve"> from this refusal</w:t>
      </w:r>
      <w:r w:rsidRPr="003C303C">
        <w:t>.</w:t>
      </w:r>
      <w:bookmarkStart w:id="19" w:name="twentythree"/>
    </w:p>
    <w:bookmarkStart w:id="20" w:name="twentyfourq"/>
    <w:p w:rsidR="008C47E1" w:rsidRPr="007F5A7A"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24</w:t>
      </w:r>
      <w:r w:rsidRPr="007F5A7A">
        <w:fldChar w:fldCharType="end"/>
      </w:r>
      <w:bookmarkEnd w:id="19"/>
      <w:bookmarkEnd w:id="20"/>
      <w:r w:rsidRPr="007F5A7A">
        <w:t xml:space="preserve">.  On 22 September 2004 the applicant </w:t>
      </w:r>
      <w:r w:rsidR="00D83156" w:rsidRPr="007F5A7A">
        <w:t xml:space="preserve">wrote </w:t>
      </w:r>
      <w:r w:rsidRPr="007F5A7A">
        <w:t>to the Prosecutor</w:t>
      </w:r>
      <w:r w:rsidR="00C5795F">
        <w:t>’</w:t>
      </w:r>
      <w:r w:rsidRPr="003C303C">
        <w:t xml:space="preserve">s Office </w:t>
      </w:r>
      <w:r w:rsidR="00D83156" w:rsidRPr="003C303C">
        <w:t>asking it</w:t>
      </w:r>
      <w:r w:rsidRPr="003C303C">
        <w:t xml:space="preserve"> to prosecute the police officers involved in the events of 27</w:t>
      </w:r>
      <w:r w:rsidR="00AB1F89">
        <w:t> </w:t>
      </w:r>
      <w:r w:rsidRPr="007F5A7A">
        <w:t>April</w:t>
      </w:r>
      <w:r w:rsidR="00AB1F89">
        <w:t> </w:t>
      </w:r>
      <w:r w:rsidRPr="007F5A7A">
        <w:t>2004. He also challenged the decision of 16 August 2004 before a higher authority.</w:t>
      </w:r>
    </w:p>
    <w:bookmarkStart w:id="21" w:name="twentyfour"/>
    <w:bookmarkStart w:id="22" w:name="twentyfive"/>
    <w:p w:rsidR="00DB2354" w:rsidRDefault="00DB2354" w:rsidP="00DB2354">
      <w:pPr>
        <w:pStyle w:val="JuPara"/>
      </w:pPr>
      <w:r w:rsidRPr="00141186">
        <w:fldChar w:fldCharType="begin"/>
      </w:r>
      <w:r w:rsidRPr="00141186">
        <w:instrText xml:space="preserve"> SEQ level0 \*arabic </w:instrText>
      </w:r>
      <w:r w:rsidRPr="00141186">
        <w:fldChar w:fldCharType="separate"/>
      </w:r>
      <w:r w:rsidR="00B41E90">
        <w:rPr>
          <w:noProof/>
        </w:rPr>
        <w:t>25</w:t>
      </w:r>
      <w:r w:rsidRPr="00141186">
        <w:fldChar w:fldCharType="end"/>
      </w:r>
      <w:bookmarkEnd w:id="21"/>
      <w:bookmarkEnd w:id="22"/>
      <w:r w:rsidRPr="00141186">
        <w:t xml:space="preserve">.  On 30 September 2004 the police ordered an expert examination </w:t>
      </w:r>
      <w:r w:rsidR="0042361B">
        <w:t xml:space="preserve">of the applicant </w:t>
      </w:r>
      <w:r w:rsidR="00937917">
        <w:t xml:space="preserve">by a psychologist </w:t>
      </w:r>
      <w:r w:rsidR="00062C51">
        <w:t xml:space="preserve">with a view to checking his personality and propensity to lie. Among other documents, the authorities made available to the expert </w:t>
      </w:r>
      <w:r w:rsidRPr="00141186">
        <w:t>the video records of the applicant</w:t>
      </w:r>
      <w:r w:rsidR="00C5795F">
        <w:t>’</w:t>
      </w:r>
      <w:r w:rsidRPr="00141186">
        <w:t>s statements concerning the events of 27</w:t>
      </w:r>
      <w:r w:rsidR="009A5E81">
        <w:t> </w:t>
      </w:r>
      <w:r w:rsidRPr="00141186">
        <w:t>April 2004</w:t>
      </w:r>
      <w:r w:rsidR="00062C51">
        <w:t xml:space="preserve"> as well </w:t>
      </w:r>
      <w:r w:rsidR="00BB1E9B">
        <w:t xml:space="preserve">as </w:t>
      </w:r>
      <w:r w:rsidR="00062C51">
        <w:t>video records of the operative drill of 27</w:t>
      </w:r>
      <w:r w:rsidR="00BB1E9B">
        <w:t> </w:t>
      </w:r>
      <w:r w:rsidR="00062C51">
        <w:t>April 2004.</w:t>
      </w:r>
      <w:r w:rsidR="00062C51" w:rsidRPr="00062C51">
        <w:t xml:space="preserve"> </w:t>
      </w:r>
      <w:r w:rsidR="00062C51" w:rsidRPr="00D21C2C">
        <w:t xml:space="preserve">In the expert report subsequently drawn up on 28 January 2005 </w:t>
      </w:r>
      <w:r w:rsidR="00062C51" w:rsidRPr="003C303C">
        <w:t xml:space="preserve">it was found that </w:t>
      </w:r>
      <w:r w:rsidR="00062C51" w:rsidRPr="00141186">
        <w:t xml:space="preserve">the applicant had </w:t>
      </w:r>
      <w:r w:rsidR="00934EBA" w:rsidRPr="00141186">
        <w:t>“</w:t>
      </w:r>
      <w:r w:rsidR="00062C51" w:rsidRPr="00141186">
        <w:t xml:space="preserve">a </w:t>
      </w:r>
      <w:r w:rsidR="00934EBA" w:rsidRPr="00141186">
        <w:t>personality with heightened level of restlessness, conformist, with high dependence on the influence from the exterior”, which could explain the fact that he had earlier changed his statements multiple times</w:t>
      </w:r>
      <w:r w:rsidR="00062C51" w:rsidRPr="00141186">
        <w:t>.</w:t>
      </w:r>
      <w:r w:rsidR="00934EBA">
        <w:t xml:space="preserve"> In the description of the circumstances of the case, the report also mentioned </w:t>
      </w:r>
      <w:r w:rsidR="00BB1E9B">
        <w:t xml:space="preserve">as a finding </w:t>
      </w:r>
      <w:r w:rsidR="00934EBA">
        <w:t>that:</w:t>
      </w:r>
    </w:p>
    <w:p w:rsidR="00934EBA" w:rsidRPr="003E4A51" w:rsidRDefault="00934EBA" w:rsidP="00141186">
      <w:pPr>
        <w:pStyle w:val="JuQuot"/>
      </w:pPr>
      <w:r>
        <w:t>“</w:t>
      </w:r>
      <w:r w:rsidR="00141186">
        <w:t>...</w:t>
      </w:r>
      <w:r>
        <w:t xml:space="preserve"> during the operative drill, when the police officers presented themselves as the security service of S. and S. himself and put psychological pressure on [the applicant]</w:t>
      </w:r>
      <w:r w:rsidR="00BB1E9B">
        <w:t xml:space="preserve"> (during daytime, at a crowded place, forced him into a car, drove him to the forest, demanded to confess in the attempt on S.</w:t>
      </w:r>
      <w:r w:rsidR="00C5795F">
        <w:t>’</w:t>
      </w:r>
      <w:r w:rsidR="00BB1E9B">
        <w:t xml:space="preserve">s life </w:t>
      </w:r>
      <w:r w:rsidR="00141186">
        <w:t>...</w:t>
      </w:r>
      <w:r w:rsidR="00BB1E9B">
        <w:t>). These actions of the officers could provoke the applicant</w:t>
      </w:r>
      <w:r w:rsidR="00C5795F">
        <w:t>’</w:t>
      </w:r>
      <w:r w:rsidR="00BB1E9B">
        <w:t xml:space="preserve">s feelings of worry, fear for his life, future and the wish to prevent the negative consequences </w:t>
      </w:r>
      <w:r w:rsidR="00141186">
        <w:t>...</w:t>
      </w:r>
      <w:r w:rsidR="00BB1E9B">
        <w:t>”</w:t>
      </w:r>
    </w:p>
    <w:bookmarkStart w:id="23" w:name="twentysix"/>
    <w:bookmarkStart w:id="24" w:name="twentysixq"/>
    <w:p w:rsidR="008C47E1" w:rsidRPr="003C303C"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26</w:t>
      </w:r>
      <w:r w:rsidRPr="007F5A7A">
        <w:fldChar w:fldCharType="end"/>
      </w:r>
      <w:bookmarkEnd w:id="23"/>
      <w:bookmarkEnd w:id="24"/>
      <w:r w:rsidRPr="007F5A7A">
        <w:t xml:space="preserve">.  On 19 October 2004 the Prosecutor </w:t>
      </w:r>
      <w:r w:rsidR="00D83156" w:rsidRPr="007F5A7A">
        <w:t xml:space="preserve">for </w:t>
      </w:r>
      <w:r w:rsidRPr="007F5A7A">
        <w:t>the Nizhniy N</w:t>
      </w:r>
      <w:r w:rsidRPr="003C303C">
        <w:t>ovgorod Region quashed the decision of 16 August 2004 and remitted the case for further investigation, having found the following:</w:t>
      </w:r>
    </w:p>
    <w:p w:rsidR="008C47E1" w:rsidRPr="007F5A7A" w:rsidRDefault="008C47E1" w:rsidP="008C47E1">
      <w:pPr>
        <w:pStyle w:val="JuQuot"/>
      </w:pPr>
      <w:r w:rsidRPr="003C303C">
        <w:t xml:space="preserve">“[The applicant] challenged before the Prosecutor </w:t>
      </w:r>
      <w:r w:rsidR="00D83156" w:rsidRPr="003C303C">
        <w:t xml:space="preserve">for </w:t>
      </w:r>
      <w:r w:rsidRPr="003C303C">
        <w:t xml:space="preserve">the Nizhniy Novgorod Region the decision </w:t>
      </w:r>
      <w:r w:rsidR="00D83156" w:rsidRPr="00141186">
        <w:t xml:space="preserve">not </w:t>
      </w:r>
      <w:r w:rsidRPr="00141186">
        <w:t xml:space="preserve">to institute criminal proceedings </w:t>
      </w:r>
      <w:r w:rsidR="00D83156" w:rsidRPr="00141186">
        <w:t xml:space="preserve">following his </w:t>
      </w:r>
      <w:r w:rsidR="00575F01" w:rsidRPr="00141186">
        <w:t>complaint</w:t>
      </w:r>
      <w:r w:rsidRPr="00141186">
        <w:t xml:space="preserve"> of 27</w:t>
      </w:r>
      <w:r w:rsidR="00AB1F89">
        <w:t> </w:t>
      </w:r>
      <w:r w:rsidRPr="007F5A7A">
        <w:t>April</w:t>
      </w:r>
      <w:r w:rsidR="00AB1F89">
        <w:t> </w:t>
      </w:r>
      <w:r w:rsidRPr="007F5A7A">
        <w:t>2004.</w:t>
      </w:r>
    </w:p>
    <w:p w:rsidR="008C47E1" w:rsidRPr="003C303C" w:rsidRDefault="00D83156" w:rsidP="008C47E1">
      <w:pPr>
        <w:pStyle w:val="JuQuot"/>
      </w:pPr>
      <w:r w:rsidRPr="007F5A7A">
        <w:t xml:space="preserve">An examination </w:t>
      </w:r>
      <w:r w:rsidR="008C47E1" w:rsidRPr="007F5A7A">
        <w:t>of case file no. 697272 and the applicant</w:t>
      </w:r>
      <w:r w:rsidR="00C5795F">
        <w:t>’</w:t>
      </w:r>
      <w:r w:rsidR="008C47E1" w:rsidRPr="007F5A7A">
        <w:t>s complaint indicates that the refusal of 16 August 2004 is premature and that the case requires further investigation. In this connection</w:t>
      </w:r>
      <w:r w:rsidRPr="007F5A7A">
        <w:t>,</w:t>
      </w:r>
      <w:r w:rsidR="008C47E1" w:rsidRPr="003C303C">
        <w:t xml:space="preserve"> the applicant</w:t>
      </w:r>
      <w:r w:rsidR="00C5795F">
        <w:t>’</w:t>
      </w:r>
      <w:r w:rsidR="008C47E1" w:rsidRPr="003C303C">
        <w:t>s complaint should be granted.”</w:t>
      </w:r>
    </w:p>
    <w:p w:rsidR="00141186" w:rsidRDefault="008C47E1" w:rsidP="008C47E1">
      <w:pPr>
        <w:pStyle w:val="JuPara"/>
      </w:pPr>
      <w:r w:rsidRPr="007F5A7A">
        <w:fldChar w:fldCharType="begin"/>
      </w:r>
      <w:r w:rsidRPr="00141186">
        <w:instrText xml:space="preserve"> SEQ level0 \*arabic </w:instrText>
      </w:r>
      <w:r w:rsidRPr="00141186">
        <w:fldChar w:fldCharType="separate"/>
      </w:r>
      <w:r w:rsidR="00B41E90">
        <w:rPr>
          <w:noProof/>
        </w:rPr>
        <w:t>27</w:t>
      </w:r>
      <w:r w:rsidRPr="007F5A7A">
        <w:fldChar w:fldCharType="end"/>
      </w:r>
      <w:r w:rsidRPr="007F5A7A">
        <w:t xml:space="preserve">.  In this decision the Prosecutor </w:t>
      </w:r>
      <w:r w:rsidR="00D83156" w:rsidRPr="007F5A7A">
        <w:t xml:space="preserve">for </w:t>
      </w:r>
      <w:r w:rsidRPr="007F5A7A">
        <w:t xml:space="preserve">the Nizhniy Novgorod Region did not point out any specific defects </w:t>
      </w:r>
      <w:r w:rsidR="00D83156" w:rsidRPr="003C303C">
        <w:t xml:space="preserve">in </w:t>
      </w:r>
      <w:r w:rsidRPr="003C303C">
        <w:t>the investigation.</w:t>
      </w:r>
      <w:bookmarkStart w:id="25" w:name="twentyseven"/>
    </w:p>
    <w:bookmarkStart w:id="26" w:name="twentyeight"/>
    <w:bookmarkEnd w:id="25"/>
    <w:p w:rsidR="00141186" w:rsidRDefault="007F5A7A" w:rsidP="008C47E1">
      <w:pPr>
        <w:pStyle w:val="JuPara"/>
      </w:pPr>
      <w:r>
        <w:fldChar w:fldCharType="begin"/>
      </w:r>
      <w:r>
        <w:instrText xml:space="preserve"> SEQ level0 \*arabic </w:instrText>
      </w:r>
      <w:r>
        <w:fldChar w:fldCharType="separate"/>
      </w:r>
      <w:r w:rsidR="00B41E90">
        <w:rPr>
          <w:noProof/>
        </w:rPr>
        <w:t>28</w:t>
      </w:r>
      <w:r>
        <w:fldChar w:fldCharType="end"/>
      </w:r>
      <w:bookmarkEnd w:id="26"/>
      <w:r>
        <w:t>.  </w:t>
      </w:r>
      <w:r w:rsidR="008C47E1" w:rsidRPr="007F5A7A">
        <w:t xml:space="preserve">On 18 March 2005 the investigative authority issued a new decision </w:t>
      </w:r>
      <w:r w:rsidR="00E0439D" w:rsidRPr="007F5A7A">
        <w:t>refusing to bring a prosecution</w:t>
      </w:r>
      <w:r w:rsidR="008C47E1" w:rsidRPr="007F5A7A">
        <w:t>. The first part of this refusal repeated the previous findings of the Prosecutor</w:t>
      </w:r>
      <w:r w:rsidR="00C5795F">
        <w:t>’</w:t>
      </w:r>
      <w:r w:rsidR="008C47E1" w:rsidRPr="007F5A7A">
        <w:t xml:space="preserve">s Office cited above (see paragraph </w:t>
      </w:r>
      <w:r w:rsidR="00C5003E">
        <w:rPr>
          <w:noProof/>
        </w:rPr>
        <w:t>22</w:t>
      </w:r>
      <w:r w:rsidR="00545C8C" w:rsidRPr="007F5A7A">
        <w:t xml:space="preserve"> above</w:t>
      </w:r>
      <w:r w:rsidR="008C47E1" w:rsidRPr="007F5A7A">
        <w:t>). The remaining part reads as follows:</w:t>
      </w:r>
    </w:p>
    <w:p w:rsidR="008C47E1" w:rsidRPr="007F5A7A" w:rsidRDefault="008C47E1" w:rsidP="008C47E1">
      <w:pPr>
        <w:pStyle w:val="JuQuot"/>
      </w:pPr>
      <w:r w:rsidRPr="007F5A7A">
        <w:t>“Expert reports of 2</w:t>
      </w:r>
      <w:r w:rsidR="006633DA" w:rsidRPr="003C303C">
        <w:t>,</w:t>
      </w:r>
      <w:r w:rsidRPr="003C303C">
        <w:t xml:space="preserve"> 21 June and 17 July 2004</w:t>
      </w:r>
      <w:r w:rsidR="006633DA" w:rsidRPr="003C303C">
        <w:t>,</w:t>
      </w:r>
      <w:r w:rsidRPr="003C303C">
        <w:t xml:space="preserve"> </w:t>
      </w:r>
      <w:r w:rsidR="006633DA" w:rsidRPr="00141186">
        <w:t>a</w:t>
      </w:r>
      <w:r w:rsidRPr="00141186">
        <w:t xml:space="preserve"> medical examination of 30</w:t>
      </w:r>
      <w:r w:rsidR="00AB1F89" w:rsidRPr="00141186">
        <w:rPr>
          <w:lang w:val="en-US"/>
        </w:rPr>
        <w:t> </w:t>
      </w:r>
      <w:r w:rsidRPr="007F5A7A">
        <w:t>April</w:t>
      </w:r>
      <w:r w:rsidR="00AB1F89">
        <w:t> </w:t>
      </w:r>
      <w:r w:rsidRPr="007F5A7A">
        <w:t>2004</w:t>
      </w:r>
      <w:r w:rsidR="006633DA" w:rsidRPr="007F5A7A">
        <w:t>,</w:t>
      </w:r>
      <w:r w:rsidRPr="007F5A7A">
        <w:t xml:space="preserve"> along with statements of expert Y. could not confirm the applicant</w:t>
      </w:r>
      <w:r w:rsidR="00C5795F">
        <w:t>’</w:t>
      </w:r>
      <w:r w:rsidRPr="007F5A7A">
        <w:t>s injuries.</w:t>
      </w:r>
    </w:p>
    <w:p w:rsidR="008C47E1" w:rsidRPr="00141186" w:rsidRDefault="008C47E1" w:rsidP="008C47E1">
      <w:pPr>
        <w:pStyle w:val="JuQuot"/>
      </w:pPr>
      <w:r w:rsidRPr="007F5A7A">
        <w:t>On 16</w:t>
      </w:r>
      <w:r w:rsidRPr="003C303C">
        <w:t xml:space="preserve"> August 2004 [the Prosecutor</w:t>
      </w:r>
      <w:r w:rsidR="00C5795F">
        <w:t>’</w:t>
      </w:r>
      <w:r w:rsidRPr="003C303C">
        <w:t xml:space="preserve">s Office] refused to institute criminal proceedings against S. because no indication of </w:t>
      </w:r>
      <w:r w:rsidR="006633DA" w:rsidRPr="003C303C">
        <w:t xml:space="preserve">the </w:t>
      </w:r>
      <w:r w:rsidRPr="003C303C">
        <w:t xml:space="preserve">criminal offences prohibited by </w:t>
      </w:r>
      <w:r w:rsidR="00191B63" w:rsidRPr="003C303C">
        <w:t xml:space="preserve">Articles </w:t>
      </w:r>
      <w:r w:rsidRPr="00141186">
        <w:t>116, 119 and 126 of the Criminal Code of Russia was found in his actions.</w:t>
      </w:r>
    </w:p>
    <w:p w:rsidR="008C47E1" w:rsidRPr="00141186" w:rsidRDefault="008C47E1" w:rsidP="008C47E1">
      <w:pPr>
        <w:pStyle w:val="JuQuot"/>
      </w:pPr>
      <w:r w:rsidRPr="00141186">
        <w:t>On 19 October 2004 [the Prosecutor</w:t>
      </w:r>
      <w:r w:rsidR="00C5795F">
        <w:t>’</w:t>
      </w:r>
      <w:r w:rsidR="006633DA" w:rsidRPr="00141186">
        <w:t>s</w:t>
      </w:r>
      <w:r w:rsidRPr="00141186">
        <w:t xml:space="preserve"> Office </w:t>
      </w:r>
      <w:r w:rsidR="006633DA" w:rsidRPr="00141186">
        <w:t xml:space="preserve">for </w:t>
      </w:r>
      <w:r w:rsidRPr="00141186">
        <w:t>the Nizhniy Novgorod Region] quashed the refusal and remitted the case for further investigation.</w:t>
      </w:r>
    </w:p>
    <w:p w:rsidR="008C47E1" w:rsidRPr="00141186" w:rsidRDefault="006633DA" w:rsidP="008C47E1">
      <w:pPr>
        <w:pStyle w:val="JuQuot"/>
      </w:pPr>
      <w:r w:rsidRPr="00141186">
        <w:t>Information</w:t>
      </w:r>
      <w:r w:rsidR="008C47E1" w:rsidRPr="00141186">
        <w:t xml:space="preserve"> provided by an ambulance station</w:t>
      </w:r>
      <w:r w:rsidRPr="00141186">
        <w:t xml:space="preserve"> [shows that] </w:t>
      </w:r>
      <w:r w:rsidR="008C47E1" w:rsidRPr="00141186">
        <w:t>the applicant did not make any telephone call</w:t>
      </w:r>
      <w:r w:rsidR="00BC21B5" w:rsidRPr="00141186">
        <w:t>s</w:t>
      </w:r>
      <w:r w:rsidR="008C47E1" w:rsidRPr="00141186">
        <w:t xml:space="preserve"> to the ambulance station.</w:t>
      </w:r>
    </w:p>
    <w:p w:rsidR="008C47E1" w:rsidRPr="00141186" w:rsidRDefault="008C47E1" w:rsidP="008C47E1">
      <w:pPr>
        <w:pStyle w:val="JuQuot"/>
      </w:pPr>
      <w:r w:rsidRPr="00141186">
        <w:t>Sh.</w:t>
      </w:r>
      <w:r w:rsidR="006633DA" w:rsidRPr="00141186">
        <w:t>,</w:t>
      </w:r>
      <w:r w:rsidRPr="00141186">
        <w:t xml:space="preserve"> who was examined [in connection with the applicant</w:t>
      </w:r>
      <w:r w:rsidR="00C5795F">
        <w:t>’</w:t>
      </w:r>
      <w:r w:rsidRPr="00141186">
        <w:t>s allegations</w:t>
      </w:r>
      <w:r w:rsidR="006633DA" w:rsidRPr="00141186">
        <w:t>,</w:t>
      </w:r>
      <w:r w:rsidRPr="00141186">
        <w:t xml:space="preserve">] stated that </w:t>
      </w:r>
      <w:r w:rsidR="006633DA" w:rsidRPr="00141186">
        <w:t xml:space="preserve">towards </w:t>
      </w:r>
      <w:r w:rsidRPr="00141186">
        <w:t>the end of April 2004 he had spoken with [the applicant]</w:t>
      </w:r>
      <w:r w:rsidR="006633DA" w:rsidRPr="00141186">
        <w:t>,</w:t>
      </w:r>
      <w:r w:rsidRPr="00141186">
        <w:t xml:space="preserve"> who had mentioned his</w:t>
      </w:r>
      <w:r w:rsidR="00BC21B5" w:rsidRPr="00141186">
        <w:t xml:space="preserve"> [having been]</w:t>
      </w:r>
      <w:r w:rsidRPr="00141186">
        <w:t xml:space="preserve"> </w:t>
      </w:r>
      <w:r w:rsidR="00BC21B5" w:rsidRPr="00141186">
        <w:t>beaten</w:t>
      </w:r>
      <w:r w:rsidRPr="00141186">
        <w:t xml:space="preserve">. In response to the question: </w:t>
      </w:r>
      <w:r w:rsidR="00C5795F">
        <w:t>‘</w:t>
      </w:r>
      <w:r w:rsidRPr="00141186">
        <w:t>where are you?</w:t>
      </w:r>
      <w:r w:rsidR="00C5795F">
        <w:t>’</w:t>
      </w:r>
      <w:r w:rsidRPr="00141186">
        <w:t xml:space="preserve"> [the applicant] replied that he </w:t>
      </w:r>
      <w:r w:rsidR="006633DA" w:rsidRPr="00141186">
        <w:t>was</w:t>
      </w:r>
      <w:r w:rsidRPr="00141186">
        <w:t xml:space="preserve"> in a sauna. The telephone company confirmed that</w:t>
      </w:r>
      <w:r w:rsidR="006633DA" w:rsidRPr="00141186">
        <w:t xml:space="preserve"> on 27</w:t>
      </w:r>
      <w:r w:rsidR="00AB1F89" w:rsidRPr="00141186">
        <w:rPr>
          <w:lang w:val="en-US"/>
        </w:rPr>
        <w:t> </w:t>
      </w:r>
      <w:r w:rsidR="006633DA" w:rsidRPr="007F5A7A">
        <w:t>April</w:t>
      </w:r>
      <w:r w:rsidR="00AB1F89" w:rsidRPr="00141186">
        <w:rPr>
          <w:lang w:val="en-US"/>
        </w:rPr>
        <w:t> </w:t>
      </w:r>
      <w:r w:rsidR="006633DA" w:rsidRPr="007F5A7A">
        <w:t>2004 after 4 p.m.</w:t>
      </w:r>
      <w:r w:rsidRPr="007F5A7A">
        <w:t xml:space="preserve"> the </w:t>
      </w:r>
      <w:r w:rsidR="006633DA" w:rsidRPr="007F5A7A">
        <w:t>[applicant</w:t>
      </w:r>
      <w:r w:rsidR="00C5795F">
        <w:t>’</w:t>
      </w:r>
      <w:r w:rsidR="006633DA" w:rsidRPr="007F5A7A">
        <w:t xml:space="preserve">s] </w:t>
      </w:r>
      <w:r w:rsidRPr="007F5A7A">
        <w:t xml:space="preserve">telephone was located in </w:t>
      </w:r>
      <w:r w:rsidR="006633DA" w:rsidRPr="003C303C">
        <w:t>an area</w:t>
      </w:r>
      <w:r w:rsidRPr="003C303C">
        <w:t xml:space="preserve"> of his work</w:t>
      </w:r>
      <w:r w:rsidR="006633DA" w:rsidRPr="003C303C">
        <w:t>place</w:t>
      </w:r>
      <w:r w:rsidRPr="003C303C">
        <w:t xml:space="preserve">, </w:t>
      </w:r>
      <w:r w:rsidR="006633DA" w:rsidRPr="00141186">
        <w:t xml:space="preserve">the </w:t>
      </w:r>
      <w:r w:rsidR="00C5795F">
        <w:t>‘</w:t>
      </w:r>
      <w:r w:rsidR="006633DA" w:rsidRPr="00141186">
        <w:t>Atlantic</w:t>
      </w:r>
      <w:r w:rsidR="00C5795F">
        <w:t>’</w:t>
      </w:r>
      <w:r w:rsidR="006633DA" w:rsidRPr="00141186">
        <w:t xml:space="preserve"> </w:t>
      </w:r>
      <w:r w:rsidRPr="00141186">
        <w:t>sauna club.</w:t>
      </w:r>
    </w:p>
    <w:p w:rsidR="008C47E1" w:rsidRPr="003C303C" w:rsidRDefault="008C47E1" w:rsidP="008C47E1">
      <w:pPr>
        <w:pStyle w:val="JuQuot"/>
      </w:pPr>
      <w:r w:rsidRPr="00141186">
        <w:t>M</w:t>
      </w:r>
      <w:r w:rsidR="006633DA" w:rsidRPr="00141186">
        <w:t>.,</w:t>
      </w:r>
      <w:r w:rsidRPr="00141186">
        <w:t xml:space="preserve"> [one of the policemen involved </w:t>
      </w:r>
      <w:r w:rsidR="006633DA" w:rsidRPr="00141186">
        <w:t xml:space="preserve">in the </w:t>
      </w:r>
      <w:r w:rsidR="00A0034D">
        <w:t>operative drill</w:t>
      </w:r>
      <w:r w:rsidRPr="007F5A7A">
        <w:t xml:space="preserve">] who was repeatedly </w:t>
      </w:r>
      <w:r w:rsidR="006633DA" w:rsidRPr="007F5A7A">
        <w:t xml:space="preserve">questioned </w:t>
      </w:r>
      <w:r w:rsidRPr="007F5A7A">
        <w:t>[in connection with the applicant</w:t>
      </w:r>
      <w:r w:rsidR="00C5795F">
        <w:t>’</w:t>
      </w:r>
      <w:r w:rsidRPr="007F5A7A">
        <w:t xml:space="preserve">s allegations], confirmed his previous statements. He pointed out that no physical </w:t>
      </w:r>
      <w:r w:rsidR="006633DA" w:rsidRPr="007F5A7A">
        <w:t xml:space="preserve">[ill-treatment] </w:t>
      </w:r>
      <w:r w:rsidRPr="007F5A7A">
        <w:t>or psychological pressure had been used against [the applicant], no firearm</w:t>
      </w:r>
      <w:r w:rsidRPr="003C303C">
        <w:t xml:space="preserve">s </w:t>
      </w:r>
      <w:r w:rsidR="006633DA" w:rsidRPr="003C303C">
        <w:t xml:space="preserve">or [other] weapons </w:t>
      </w:r>
      <w:r w:rsidRPr="003C303C">
        <w:t xml:space="preserve">had been </w:t>
      </w:r>
      <w:r w:rsidR="006633DA" w:rsidRPr="003C303C">
        <w:t>brandished</w:t>
      </w:r>
      <w:r w:rsidRPr="00141186">
        <w:t>. There were no visible injuries on the applicant</w:t>
      </w:r>
      <w:r w:rsidR="00C5795F">
        <w:t>’</w:t>
      </w:r>
      <w:r w:rsidRPr="00141186">
        <w:t>s body. The applicant had not complained about his health and looked healthy. He had not resisted the police after he had been forced in</w:t>
      </w:r>
      <w:r w:rsidR="006633DA" w:rsidRPr="00141186">
        <w:t>to</w:t>
      </w:r>
      <w:r w:rsidRPr="00141186">
        <w:t xml:space="preserve"> the car. During the </w:t>
      </w:r>
      <w:r w:rsidR="00A0034D">
        <w:t>operative drill</w:t>
      </w:r>
      <w:r w:rsidRPr="007F5A7A">
        <w:t xml:space="preserve"> [the applicant] had not injured himself. He </w:t>
      </w:r>
      <w:r w:rsidR="006633DA" w:rsidRPr="007F5A7A">
        <w:t xml:space="preserve">had </w:t>
      </w:r>
      <w:r w:rsidRPr="007F5A7A">
        <w:t xml:space="preserve">also </w:t>
      </w:r>
      <w:r w:rsidR="006633DA" w:rsidRPr="007F5A7A">
        <w:t xml:space="preserve">noticed </w:t>
      </w:r>
      <w:r w:rsidRPr="003C303C">
        <w:t xml:space="preserve">that one of the police officers </w:t>
      </w:r>
      <w:r w:rsidR="006633DA" w:rsidRPr="003C303C">
        <w:t>was</w:t>
      </w:r>
      <w:r w:rsidRPr="003C303C">
        <w:t xml:space="preserve"> disguised as S.</w:t>
      </w:r>
    </w:p>
    <w:p w:rsidR="008C47E1" w:rsidRPr="003C303C" w:rsidRDefault="008C47E1" w:rsidP="008C47E1">
      <w:pPr>
        <w:pStyle w:val="JuQuot"/>
      </w:pPr>
      <w:r w:rsidRPr="003C303C">
        <w:t>S.O. and M.B. [</w:t>
      </w:r>
      <w:r w:rsidRPr="00141186">
        <w:t>the applicant</w:t>
      </w:r>
      <w:r w:rsidR="00C5795F">
        <w:t>’</w:t>
      </w:r>
      <w:r w:rsidRPr="00141186">
        <w:t xml:space="preserve">s acquaintances] stated that they had seen the applicant on 27 April 2004 after the alleged incident. He </w:t>
      </w:r>
      <w:r w:rsidR="00191B63" w:rsidRPr="00141186">
        <w:t>was not injured</w:t>
      </w:r>
      <w:r w:rsidRPr="00141186">
        <w:t xml:space="preserve"> and he did not complain about his health. He had a positive attitude and </w:t>
      </w:r>
      <w:r w:rsidR="00C5795F">
        <w:t>‘</w:t>
      </w:r>
      <w:r w:rsidRPr="003C303C">
        <w:t>drank cognac</w:t>
      </w:r>
      <w:r w:rsidR="00C5795F">
        <w:t>’</w:t>
      </w:r>
      <w:r w:rsidRPr="003C303C">
        <w:t>.</w:t>
      </w:r>
    </w:p>
    <w:p w:rsidR="008C47E1" w:rsidRPr="00141186" w:rsidRDefault="008C47E1" w:rsidP="008C47E1">
      <w:pPr>
        <w:pStyle w:val="JuQuot"/>
      </w:pPr>
      <w:r w:rsidRPr="003C303C">
        <w:t xml:space="preserve">The expert </w:t>
      </w:r>
      <w:r w:rsidR="00937917" w:rsidRPr="00141186">
        <w:t xml:space="preserve">psychological </w:t>
      </w:r>
      <w:r w:rsidRPr="003C303C">
        <w:t xml:space="preserve">report of 28 January 2005 </w:t>
      </w:r>
      <w:r w:rsidR="00191B63" w:rsidRPr="003C303C">
        <w:t>(</w:t>
      </w:r>
      <w:r w:rsidRPr="003C303C">
        <w:t>no. 340/4446/27</w:t>
      </w:r>
      <w:r w:rsidR="00191B63" w:rsidRPr="003C303C">
        <w:t>)</w:t>
      </w:r>
      <w:r w:rsidRPr="00141186">
        <w:t xml:space="preserve"> indicated that the applicant had </w:t>
      </w:r>
      <w:r w:rsidR="00191B63" w:rsidRPr="00141186">
        <w:t xml:space="preserve">an </w:t>
      </w:r>
      <w:r w:rsidRPr="00141186">
        <w:t>anxious and compulsive</w:t>
      </w:r>
      <w:r w:rsidR="00BC21B5" w:rsidRPr="00141186">
        <w:t>, highly co-dependant</w:t>
      </w:r>
      <w:r w:rsidRPr="00141186">
        <w:t xml:space="preserve"> personality. His statements about a car </w:t>
      </w:r>
      <w:r w:rsidR="00191B63" w:rsidRPr="00141186">
        <w:t xml:space="preserve">being towed </w:t>
      </w:r>
      <w:r w:rsidRPr="00141186">
        <w:t xml:space="preserve">and about </w:t>
      </w:r>
      <w:r w:rsidR="00191B63" w:rsidRPr="00141186">
        <w:t xml:space="preserve">being put under </w:t>
      </w:r>
      <w:r w:rsidRPr="00141186">
        <w:t xml:space="preserve">pressure were not </w:t>
      </w:r>
      <w:r w:rsidR="006F078A" w:rsidRPr="00141186">
        <w:t>true</w:t>
      </w:r>
      <w:r w:rsidRPr="00141186">
        <w:t>.</w:t>
      </w:r>
    </w:p>
    <w:p w:rsidR="00141186" w:rsidRDefault="008C47E1" w:rsidP="008C47E1">
      <w:pPr>
        <w:pStyle w:val="JuQuot"/>
      </w:pPr>
      <w:r w:rsidRPr="00141186">
        <w:t>Moreover, the applicant</w:t>
      </w:r>
      <w:r w:rsidR="00C5795F">
        <w:t>’</w:t>
      </w:r>
      <w:r w:rsidRPr="00141186">
        <w:t>s statements which had been giv</w:t>
      </w:r>
      <w:r w:rsidR="007F5A7A">
        <w:t>en</w:t>
      </w:r>
      <w:r w:rsidRPr="003C303C">
        <w:t xml:space="preserve"> during the </w:t>
      </w:r>
      <w:r w:rsidR="00A0034D">
        <w:t>operative drill</w:t>
      </w:r>
      <w:r w:rsidR="004D2D86" w:rsidRPr="007F5A7A">
        <w:t xml:space="preserve"> </w:t>
      </w:r>
      <w:r w:rsidR="00191B63" w:rsidRPr="007F5A7A">
        <w:t>were</w:t>
      </w:r>
      <w:r w:rsidRPr="007F5A7A">
        <w:t xml:space="preserve"> confirmed by other case materials. The </w:t>
      </w:r>
      <w:r w:rsidR="00191B63" w:rsidRPr="003C303C">
        <w:t xml:space="preserve">revised </w:t>
      </w:r>
      <w:r w:rsidRPr="003C303C">
        <w:t>statements of the applicant were not confirmed.</w:t>
      </w:r>
    </w:p>
    <w:p w:rsidR="00141186" w:rsidRDefault="008C47E1" w:rsidP="008C47E1">
      <w:pPr>
        <w:pStyle w:val="JuQuot"/>
      </w:pPr>
      <w:r w:rsidRPr="003C303C">
        <w:t xml:space="preserve">The investigation shows that the </w:t>
      </w:r>
      <w:r w:rsidR="00A0034D">
        <w:t>operative drill</w:t>
      </w:r>
      <w:r w:rsidRPr="007F5A7A">
        <w:t xml:space="preserve"> </w:t>
      </w:r>
      <w:r w:rsidR="004D2D86" w:rsidRPr="007F5A7A">
        <w:t xml:space="preserve">concerned </w:t>
      </w:r>
      <w:r w:rsidRPr="007F5A7A">
        <w:t xml:space="preserve">the applicant. It was carried out in line with the requirements of federal </w:t>
      </w:r>
      <w:r w:rsidR="00191B63" w:rsidRPr="003C303C">
        <w:t>law</w:t>
      </w:r>
      <w:r w:rsidRPr="003C303C">
        <w:t>.</w:t>
      </w:r>
    </w:p>
    <w:p w:rsidR="008C47E1" w:rsidRPr="00141186" w:rsidRDefault="008C47E1" w:rsidP="008C47E1">
      <w:pPr>
        <w:pStyle w:val="JuQuot"/>
      </w:pPr>
      <w:r w:rsidRPr="003C303C">
        <w:t xml:space="preserve">No objective </w:t>
      </w:r>
      <w:r w:rsidR="00191B63" w:rsidRPr="003C303C">
        <w:t xml:space="preserve">information </w:t>
      </w:r>
      <w:r w:rsidRPr="00141186">
        <w:t xml:space="preserve">confirming </w:t>
      </w:r>
      <w:r w:rsidR="00191B63" w:rsidRPr="00141186">
        <w:t xml:space="preserve">[that] </w:t>
      </w:r>
      <w:r w:rsidRPr="00141186">
        <w:t xml:space="preserve">the applicant </w:t>
      </w:r>
      <w:r w:rsidR="00191B63" w:rsidRPr="00141186">
        <w:t>[was] beaten</w:t>
      </w:r>
      <w:r w:rsidRPr="00141186">
        <w:t xml:space="preserve"> </w:t>
      </w:r>
      <w:r w:rsidR="00191B63" w:rsidRPr="00141186">
        <w:t xml:space="preserve">[or subjected to] </w:t>
      </w:r>
      <w:r w:rsidRPr="00141186">
        <w:t xml:space="preserve">psychological </w:t>
      </w:r>
      <w:r w:rsidR="00191B63" w:rsidRPr="00141186">
        <w:t xml:space="preserve">pressure, </w:t>
      </w:r>
      <w:r w:rsidRPr="00141186">
        <w:t xml:space="preserve">physical </w:t>
      </w:r>
      <w:r w:rsidR="00191B63" w:rsidRPr="00141186">
        <w:t xml:space="preserve">ill-treatment </w:t>
      </w:r>
      <w:r w:rsidRPr="00141186">
        <w:t>or violence was found.</w:t>
      </w:r>
    </w:p>
    <w:p w:rsidR="008C47E1" w:rsidRPr="00141186" w:rsidRDefault="008C47E1" w:rsidP="008C47E1">
      <w:pPr>
        <w:pStyle w:val="JuQuot"/>
      </w:pPr>
      <w:r w:rsidRPr="00141186">
        <w:t>It is impossible to disprove M.</w:t>
      </w:r>
      <w:r w:rsidR="00C5795F">
        <w:t>’</w:t>
      </w:r>
      <w:r w:rsidRPr="00141186">
        <w:t>s and S.</w:t>
      </w:r>
      <w:r w:rsidR="00C5795F">
        <w:t>’</w:t>
      </w:r>
      <w:r w:rsidRPr="00141186">
        <w:t xml:space="preserve">s statements </w:t>
      </w:r>
      <w:r w:rsidR="00191B63" w:rsidRPr="00141186">
        <w:t>and the</w:t>
      </w:r>
      <w:r w:rsidRPr="00141186">
        <w:t xml:space="preserve"> statements of other witnesses.</w:t>
      </w:r>
    </w:p>
    <w:p w:rsidR="008C47E1" w:rsidRPr="00141186" w:rsidRDefault="008C47E1" w:rsidP="008C47E1">
      <w:pPr>
        <w:pStyle w:val="JuQuot"/>
      </w:pPr>
      <w:r w:rsidRPr="00141186">
        <w:t>No evidence of the criminal offences prohibited by Articles 116, 119, 126, 285 and 286 of the Criminal Code of Russia was found during the present investigation.</w:t>
      </w:r>
    </w:p>
    <w:p w:rsidR="00141186" w:rsidRDefault="008C47E1" w:rsidP="008C47E1">
      <w:pPr>
        <w:pStyle w:val="JuQuot"/>
      </w:pPr>
      <w:r w:rsidRPr="00141186">
        <w:t xml:space="preserve">No evidence </w:t>
      </w:r>
      <w:r w:rsidR="00191B63" w:rsidRPr="00141186">
        <w:t xml:space="preserve">[pointing to the truth] </w:t>
      </w:r>
      <w:r w:rsidRPr="00141186">
        <w:t>of [the applicant</w:t>
      </w:r>
      <w:r w:rsidR="00C5795F">
        <w:t>’</w:t>
      </w:r>
      <w:r w:rsidRPr="00141186">
        <w:t xml:space="preserve">s version of the events] was found. All </w:t>
      </w:r>
      <w:r w:rsidR="00191B63" w:rsidRPr="00141186">
        <w:t>methods of</w:t>
      </w:r>
      <w:r w:rsidRPr="00141186">
        <w:t xml:space="preserve"> gathering evidence were used by the investigation.</w:t>
      </w:r>
    </w:p>
    <w:p w:rsidR="00141186" w:rsidRDefault="008C47E1" w:rsidP="008C47E1">
      <w:pPr>
        <w:pStyle w:val="JuQuot"/>
      </w:pPr>
      <w:r w:rsidRPr="00141186">
        <w:t>In the light of the above findings</w:t>
      </w:r>
      <w:r w:rsidR="00191B63" w:rsidRPr="00141186">
        <w:t>,</w:t>
      </w:r>
      <w:r w:rsidRPr="00141186">
        <w:t xml:space="preserve"> there are no signs of the criminal offences provided by Articles 116, 119, 126, 285 and 286 of the Criminal Code of Russia in the actions of the police officers.”</w:t>
      </w:r>
    </w:p>
    <w:p w:rsidR="008C47E1" w:rsidRPr="00141186"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29</w:t>
      </w:r>
      <w:r w:rsidRPr="007F5A7A">
        <w:fldChar w:fldCharType="end"/>
      </w:r>
      <w:r w:rsidRPr="008970F4">
        <w:t xml:space="preserve">.  The applicant challenged this refusal to institute criminal proceedings in court. He complained that the investigative authority </w:t>
      </w:r>
      <w:r w:rsidR="00191B63" w:rsidRPr="00AB1F89">
        <w:t xml:space="preserve">had </w:t>
      </w:r>
      <w:r w:rsidRPr="007104F2">
        <w:t>failed to perform investigative a</w:t>
      </w:r>
      <w:r w:rsidRPr="007F5A7A">
        <w:t xml:space="preserve">ctions. In particular, the police officer disguised as S had not been </w:t>
      </w:r>
      <w:r w:rsidR="00191B63" w:rsidRPr="007F5A7A">
        <w:t xml:space="preserve">questioned </w:t>
      </w:r>
      <w:r w:rsidRPr="007F5A7A">
        <w:t xml:space="preserve">by the police. The police had not examined medical documents provided by the applicant </w:t>
      </w:r>
      <w:r w:rsidR="00191B63" w:rsidRPr="003C303C">
        <w:t xml:space="preserve">or </w:t>
      </w:r>
      <w:r w:rsidRPr="003C303C">
        <w:t xml:space="preserve">the video records of the </w:t>
      </w:r>
      <w:r w:rsidR="00A0034D">
        <w:t>operative drill</w:t>
      </w:r>
      <w:r w:rsidRPr="007F5A7A">
        <w:t xml:space="preserve">. The applicant also noted that the police </w:t>
      </w:r>
      <w:r w:rsidR="00191B63" w:rsidRPr="007F5A7A">
        <w:t xml:space="preserve">had </w:t>
      </w:r>
      <w:r w:rsidRPr="007F5A7A">
        <w:t>not investigate</w:t>
      </w:r>
      <w:r w:rsidR="00191B63" w:rsidRPr="007F5A7A">
        <w:t>d</w:t>
      </w:r>
      <w:r w:rsidRPr="003C303C">
        <w:t xml:space="preserve"> the alleged use of force when he was pushed in</w:t>
      </w:r>
      <w:r w:rsidR="00191B63" w:rsidRPr="003C303C">
        <w:t>to</w:t>
      </w:r>
      <w:r w:rsidRPr="003C303C">
        <w:t xml:space="preserve"> the car. In court</w:t>
      </w:r>
      <w:r w:rsidR="00191B63" w:rsidRPr="003C303C">
        <w:t>,</w:t>
      </w:r>
      <w:r w:rsidRPr="00141186">
        <w:t xml:space="preserve"> the applicant also complained that the </w:t>
      </w:r>
      <w:r w:rsidR="00191B63" w:rsidRPr="00141186">
        <w:t>prosecutor</w:t>
      </w:r>
      <w:r w:rsidR="00C5795F">
        <w:t>’</w:t>
      </w:r>
      <w:r w:rsidR="00191B63" w:rsidRPr="00141186">
        <w:t xml:space="preserve">s </w:t>
      </w:r>
      <w:r w:rsidRPr="00141186">
        <w:t xml:space="preserve">office had not found any eyewitnesses </w:t>
      </w:r>
      <w:r w:rsidR="00191B63" w:rsidRPr="00141186">
        <w:t xml:space="preserve">to </w:t>
      </w:r>
      <w:r w:rsidRPr="00141186">
        <w:t>his kidnapping.</w:t>
      </w:r>
    </w:p>
    <w:bookmarkStart w:id="27" w:name="twentynine"/>
    <w:bookmarkStart w:id="28" w:name="thirty"/>
    <w:p w:rsidR="008C47E1" w:rsidRPr="007104F2"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30</w:t>
      </w:r>
      <w:r w:rsidRPr="007F5A7A">
        <w:fldChar w:fldCharType="end"/>
      </w:r>
      <w:bookmarkEnd w:id="27"/>
      <w:bookmarkEnd w:id="28"/>
      <w:r w:rsidRPr="008970F4">
        <w:t xml:space="preserve">.  On 12 May 2005 the </w:t>
      </w:r>
      <w:r w:rsidR="00191B63" w:rsidRPr="00AB1F89">
        <w:t xml:space="preserve">Nizhniy Novgorod </w:t>
      </w:r>
      <w:r w:rsidRPr="007104F2">
        <w:t>Sovetskiy District Court dismissed the applicant</w:t>
      </w:r>
      <w:r w:rsidR="00C5795F">
        <w:t>’</w:t>
      </w:r>
      <w:r w:rsidRPr="007104F2">
        <w:t>s claim, having found as follows:</w:t>
      </w:r>
    </w:p>
    <w:p w:rsidR="008C47E1" w:rsidRPr="003C303C" w:rsidRDefault="008C47E1" w:rsidP="008C47E1">
      <w:pPr>
        <w:pStyle w:val="JuQuot"/>
      </w:pPr>
      <w:r w:rsidRPr="007F5A7A">
        <w:t xml:space="preserve">“From the criminal case file no. 69727 it </w:t>
      </w:r>
      <w:r w:rsidR="000B1A6C" w:rsidRPr="007F5A7A">
        <w:t xml:space="preserve">is evident </w:t>
      </w:r>
      <w:r w:rsidRPr="007F5A7A">
        <w:t xml:space="preserve">that on 27 April 2004 the police performed </w:t>
      </w:r>
      <w:r w:rsidR="004D2D86" w:rsidRPr="007F5A7A">
        <w:t xml:space="preserve">an </w:t>
      </w:r>
      <w:r w:rsidR="00A0034D">
        <w:t>operative drill</w:t>
      </w:r>
      <w:r w:rsidR="004D2D86" w:rsidRPr="007F5A7A">
        <w:t xml:space="preserve"> concerning</w:t>
      </w:r>
      <w:r w:rsidRPr="007F5A7A">
        <w:t xml:space="preserve"> [the applicant] on the basis of [the police] order of 21 April 2004. It was carried out in order to check [the applicant</w:t>
      </w:r>
      <w:r w:rsidR="00C5795F">
        <w:t>’</w:t>
      </w:r>
      <w:r w:rsidRPr="007F5A7A">
        <w:t>s</w:t>
      </w:r>
      <w:r w:rsidR="00F5455A" w:rsidRPr="007F5A7A">
        <w:t xml:space="preserve"> potential</w:t>
      </w:r>
      <w:r w:rsidRPr="003C303C">
        <w:t xml:space="preserve">] involvement in the offence. During the </w:t>
      </w:r>
      <w:r w:rsidR="00A0034D">
        <w:t>operative drill</w:t>
      </w:r>
      <w:r w:rsidRPr="007F5A7A">
        <w:t xml:space="preserve"> the applicant was put in</w:t>
      </w:r>
      <w:r w:rsidR="000B1A6C" w:rsidRPr="007F5A7A">
        <w:t>to</w:t>
      </w:r>
      <w:r w:rsidRPr="007F5A7A">
        <w:t xml:space="preserve"> </w:t>
      </w:r>
      <w:r w:rsidR="000B1A6C" w:rsidRPr="007F5A7A">
        <w:t xml:space="preserve">a </w:t>
      </w:r>
      <w:r w:rsidRPr="003C303C">
        <w:t xml:space="preserve">car and </w:t>
      </w:r>
      <w:r w:rsidR="000B1A6C" w:rsidRPr="003C303C">
        <w:t xml:space="preserve">taken </w:t>
      </w:r>
      <w:r w:rsidRPr="003C303C">
        <w:t>to a forest in the Balakhinskiy District of the Nizhniy Novgorod Region.</w:t>
      </w:r>
    </w:p>
    <w:p w:rsidR="008C47E1" w:rsidRPr="00141186" w:rsidRDefault="004D2D86" w:rsidP="008C47E1">
      <w:pPr>
        <w:pStyle w:val="JuQuot"/>
      </w:pPr>
      <w:r w:rsidRPr="00141186">
        <w:t>According to</w:t>
      </w:r>
      <w:r w:rsidR="008C47E1" w:rsidRPr="00141186">
        <w:t xml:space="preserve"> the records</w:t>
      </w:r>
      <w:r w:rsidRPr="00141186">
        <w:t xml:space="preserve"> of the </w:t>
      </w:r>
      <w:r w:rsidR="00A0034D">
        <w:t>operative drill</w:t>
      </w:r>
      <w:r w:rsidR="008C47E1" w:rsidRPr="007F5A7A">
        <w:t xml:space="preserve"> and M.</w:t>
      </w:r>
      <w:r w:rsidR="00C5795F">
        <w:t>’</w:t>
      </w:r>
      <w:r w:rsidR="008C47E1" w:rsidRPr="007F5A7A">
        <w:t>s statements</w:t>
      </w:r>
      <w:r w:rsidRPr="007F5A7A">
        <w:t>,</w:t>
      </w:r>
      <w:r w:rsidR="008C47E1" w:rsidRPr="007F5A7A">
        <w:t xml:space="preserve"> which </w:t>
      </w:r>
      <w:r w:rsidR="000B1A6C" w:rsidRPr="007F5A7A">
        <w:t>were</w:t>
      </w:r>
      <w:r w:rsidR="008C47E1" w:rsidRPr="003C303C">
        <w:t xml:space="preserve"> confirmed in the court hearings, no violence or weapons </w:t>
      </w:r>
      <w:r w:rsidR="000B1A6C" w:rsidRPr="003C303C">
        <w:t>were</w:t>
      </w:r>
      <w:r w:rsidR="008C47E1" w:rsidRPr="003C303C">
        <w:t xml:space="preserve"> used against [the applicant]. </w:t>
      </w:r>
      <w:r w:rsidR="000B1A6C" w:rsidRPr="003C303C">
        <w:t>According to</w:t>
      </w:r>
      <w:r w:rsidR="008C47E1" w:rsidRPr="00141186">
        <w:t xml:space="preserve"> [the applicant</w:t>
      </w:r>
      <w:r w:rsidR="00C5795F">
        <w:t>’</w:t>
      </w:r>
      <w:r w:rsidR="008C47E1" w:rsidRPr="00141186">
        <w:t xml:space="preserve">s] statements, he </w:t>
      </w:r>
      <w:r w:rsidR="000B1A6C" w:rsidRPr="00141186">
        <w:t xml:space="preserve">suffered </w:t>
      </w:r>
      <w:r w:rsidR="008C47E1" w:rsidRPr="00141186">
        <w:t xml:space="preserve">body injuries which </w:t>
      </w:r>
      <w:r w:rsidR="009678A1" w:rsidRPr="00141186">
        <w:t xml:space="preserve">had been </w:t>
      </w:r>
      <w:r w:rsidR="008C47E1" w:rsidRPr="00141186">
        <w:t xml:space="preserve">confirmed by medical records. The validity of the medical records could not be examined in the present proceedings as by </w:t>
      </w:r>
      <w:r w:rsidR="00F5455A" w:rsidRPr="00141186">
        <w:t xml:space="preserve">an </w:t>
      </w:r>
      <w:r w:rsidR="008C47E1" w:rsidRPr="00141186">
        <w:t>order of 21 March 2005</w:t>
      </w:r>
      <w:r w:rsidR="00F5455A" w:rsidRPr="00141186">
        <w:t xml:space="preserve"> the investigator</w:t>
      </w:r>
      <w:r w:rsidR="008C47E1" w:rsidRPr="00141186">
        <w:t xml:space="preserve"> instituted separate proceedings in this connection.</w:t>
      </w:r>
    </w:p>
    <w:p w:rsidR="008C47E1" w:rsidRPr="00141186" w:rsidRDefault="008C47E1" w:rsidP="008C47E1">
      <w:pPr>
        <w:pStyle w:val="JuQuot"/>
      </w:pPr>
      <w:r w:rsidRPr="00141186">
        <w:t>The investigative authorities after declassification of the records</w:t>
      </w:r>
      <w:r w:rsidR="004D2D86" w:rsidRPr="00141186">
        <w:t xml:space="preserve"> of the </w:t>
      </w:r>
      <w:r w:rsidR="00A0034D">
        <w:t>operative drill</w:t>
      </w:r>
      <w:r w:rsidRPr="007F5A7A">
        <w:t xml:space="preserve"> provided all of the participants </w:t>
      </w:r>
      <w:r w:rsidR="000B1A6C" w:rsidRPr="007F5A7A">
        <w:t xml:space="preserve">in </w:t>
      </w:r>
      <w:r w:rsidRPr="007F5A7A">
        <w:t xml:space="preserve">the present proceedings with the relevant transcripts. There is no information </w:t>
      </w:r>
      <w:r w:rsidR="000B1A6C" w:rsidRPr="007F5A7A">
        <w:t>regarding</w:t>
      </w:r>
      <w:r w:rsidRPr="003C303C">
        <w:t xml:space="preserve"> the applicant</w:t>
      </w:r>
      <w:r w:rsidR="00C5795F">
        <w:t>’</w:t>
      </w:r>
      <w:r w:rsidRPr="003C303C">
        <w:t xml:space="preserve">s request </w:t>
      </w:r>
      <w:r w:rsidR="000B1A6C" w:rsidRPr="003C303C">
        <w:t xml:space="preserve">for </w:t>
      </w:r>
      <w:r w:rsidR="00F5455A" w:rsidRPr="003C303C">
        <w:t xml:space="preserve">an </w:t>
      </w:r>
      <w:r w:rsidR="00141186">
        <w:t>...</w:t>
      </w:r>
      <w:r w:rsidRPr="00141186">
        <w:t xml:space="preserve"> examination of </w:t>
      </w:r>
      <w:r w:rsidR="00F5455A" w:rsidRPr="00141186">
        <w:t xml:space="preserve">[whether] </w:t>
      </w:r>
      <w:r w:rsidRPr="00141186">
        <w:t xml:space="preserve">the </w:t>
      </w:r>
      <w:r w:rsidR="000B1A6C" w:rsidRPr="00141186">
        <w:t>recordings</w:t>
      </w:r>
      <w:r w:rsidR="00F5455A" w:rsidRPr="00141186">
        <w:t xml:space="preserve"> [had been tampered with]</w:t>
      </w:r>
      <w:r w:rsidRPr="00141186">
        <w:t>.</w:t>
      </w:r>
    </w:p>
    <w:p w:rsidR="008C47E1" w:rsidRPr="00141186" w:rsidRDefault="008C47E1" w:rsidP="008C47E1">
      <w:pPr>
        <w:pStyle w:val="JuQuot"/>
      </w:pPr>
      <w:r w:rsidRPr="00141186">
        <w:t>In the court hearings</w:t>
      </w:r>
      <w:r w:rsidR="000B1A6C" w:rsidRPr="00141186">
        <w:t>,</w:t>
      </w:r>
      <w:r w:rsidRPr="00141186">
        <w:t xml:space="preserve"> the applicant stated that eyewitnesses </w:t>
      </w:r>
      <w:r w:rsidR="000B1A6C" w:rsidRPr="00141186">
        <w:t xml:space="preserve">to </w:t>
      </w:r>
      <w:r w:rsidRPr="00141186">
        <w:t xml:space="preserve">his kidnapping of </w:t>
      </w:r>
      <w:r w:rsidRPr="00141186">
        <w:br/>
        <w:t xml:space="preserve">27 April 2004 from Svodboda </w:t>
      </w:r>
      <w:r w:rsidR="000B1A6C" w:rsidRPr="00141186">
        <w:t xml:space="preserve">Square </w:t>
      </w:r>
      <w:r w:rsidRPr="00141186">
        <w:t xml:space="preserve">had not been questioned and the police had not </w:t>
      </w:r>
      <w:r w:rsidR="000B1A6C" w:rsidRPr="00141186">
        <w:t>investigated</w:t>
      </w:r>
      <w:r w:rsidRPr="00141186">
        <w:t xml:space="preserve"> his allegation that one of the witnesses </w:t>
      </w:r>
      <w:r w:rsidR="000B1A6C" w:rsidRPr="00141186">
        <w:t xml:space="preserve">to </w:t>
      </w:r>
      <w:r w:rsidRPr="00141186">
        <w:t xml:space="preserve">this incident had phoned the police. The applicant and his lawyer </w:t>
      </w:r>
      <w:r w:rsidR="000B1A6C" w:rsidRPr="00141186">
        <w:t xml:space="preserve">made </w:t>
      </w:r>
      <w:r w:rsidRPr="00141186">
        <w:t>no attempt to find these witnesses. The court was not provided with information about them.</w:t>
      </w:r>
    </w:p>
    <w:p w:rsidR="008C47E1" w:rsidRPr="00141186" w:rsidRDefault="008C47E1" w:rsidP="008C47E1">
      <w:pPr>
        <w:pStyle w:val="JuQuot"/>
      </w:pPr>
      <w:r w:rsidRPr="00141186">
        <w:t xml:space="preserve">The above findings enable the court to conclude that the applicant did not provide the court with new </w:t>
      </w:r>
      <w:r w:rsidR="000B1A6C" w:rsidRPr="00141186">
        <w:t xml:space="preserve">information </w:t>
      </w:r>
      <w:r w:rsidRPr="00141186">
        <w:t>which could refute the lawfulness of the investigator</w:t>
      </w:r>
      <w:r w:rsidR="00C5795F">
        <w:t>’</w:t>
      </w:r>
      <w:r w:rsidRPr="00141186">
        <w:t>s order.</w:t>
      </w:r>
    </w:p>
    <w:p w:rsidR="008C47E1" w:rsidRPr="00141186" w:rsidRDefault="008C47E1" w:rsidP="008C47E1">
      <w:pPr>
        <w:pStyle w:val="JuQuot"/>
      </w:pPr>
      <w:r w:rsidRPr="00141186">
        <w:t>In the courts</w:t>
      </w:r>
      <w:r w:rsidR="00C5795F">
        <w:t>’</w:t>
      </w:r>
      <w:r w:rsidRPr="00141186">
        <w:t xml:space="preserve"> view</w:t>
      </w:r>
      <w:r w:rsidR="000B1A6C" w:rsidRPr="00141186">
        <w:t>,</w:t>
      </w:r>
      <w:r w:rsidRPr="00141186">
        <w:t xml:space="preserve"> the impugned order was issued after </w:t>
      </w:r>
      <w:r w:rsidR="000B1A6C" w:rsidRPr="00141186">
        <w:t xml:space="preserve">an </w:t>
      </w:r>
      <w:r w:rsidRPr="00141186">
        <w:t xml:space="preserve">examination of all of the evidence </w:t>
      </w:r>
      <w:r w:rsidR="000B1A6C" w:rsidRPr="00141186">
        <w:t>at [the prosecutor</w:t>
      </w:r>
      <w:r w:rsidR="00C5795F">
        <w:t>’</w:t>
      </w:r>
      <w:r w:rsidR="000B1A6C" w:rsidRPr="00141186">
        <w:t>s office</w:t>
      </w:r>
      <w:r w:rsidR="00C5795F">
        <w:t>’</w:t>
      </w:r>
      <w:r w:rsidR="000B1A6C" w:rsidRPr="00141186">
        <w:t>s]</w:t>
      </w:r>
      <w:r w:rsidRPr="00141186">
        <w:t xml:space="preserve"> disposal. The investigator proper</w:t>
      </w:r>
      <w:r w:rsidR="000B1A6C" w:rsidRPr="00141186">
        <w:t>ly</w:t>
      </w:r>
      <w:r w:rsidRPr="00141186">
        <w:t xml:space="preserve"> </w:t>
      </w:r>
      <w:r w:rsidR="000B1A6C" w:rsidRPr="00141186">
        <w:t xml:space="preserve">assessed </w:t>
      </w:r>
      <w:r w:rsidRPr="00141186">
        <w:t>the evidence.</w:t>
      </w:r>
    </w:p>
    <w:p w:rsidR="008C47E1" w:rsidRPr="00141186" w:rsidRDefault="008C47E1" w:rsidP="008C47E1">
      <w:pPr>
        <w:pStyle w:val="JuQuot"/>
      </w:pPr>
      <w:r w:rsidRPr="00141186">
        <w:t>In this connection</w:t>
      </w:r>
      <w:r w:rsidR="000B1A6C" w:rsidRPr="00141186">
        <w:t>,</w:t>
      </w:r>
      <w:r w:rsidRPr="00141186">
        <w:t xml:space="preserve"> the court does not see any grounds for granting the applicant</w:t>
      </w:r>
      <w:r w:rsidR="00C5795F">
        <w:t>’</w:t>
      </w:r>
      <w:r w:rsidRPr="00141186">
        <w:t xml:space="preserve">s </w:t>
      </w:r>
      <w:r w:rsidR="000B1A6C" w:rsidRPr="00141186">
        <w:t>claim</w:t>
      </w:r>
      <w:r w:rsidRPr="00141186">
        <w:t>.”</w:t>
      </w:r>
    </w:p>
    <w:bookmarkStart w:id="29" w:name="thirtyone"/>
    <w:p w:rsidR="008C47E1" w:rsidRPr="008970F4"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31</w:t>
      </w:r>
      <w:r w:rsidRPr="007F5A7A">
        <w:fldChar w:fldCharType="end"/>
      </w:r>
      <w:bookmarkEnd w:id="29"/>
      <w:r w:rsidRPr="008970F4">
        <w:t xml:space="preserve">.  On 24 June 2005 the </w:t>
      </w:r>
      <w:smartTag w:uri="urn:schemas-microsoft-com:office:smarttags" w:element="Street">
        <w:smartTag w:uri="urn:schemas-microsoft-com:office:smarttags" w:element="address">
          <w:r w:rsidRPr="008970F4">
            <w:t>Nizhniy Novgorod Regional Court</w:t>
          </w:r>
        </w:smartTag>
      </w:smartTag>
      <w:r w:rsidRPr="008970F4">
        <w:t xml:space="preserve"> upheld this decision on appeal, having found as follows:</w:t>
      </w:r>
    </w:p>
    <w:p w:rsidR="008C47E1" w:rsidRPr="007F5A7A" w:rsidRDefault="008C47E1" w:rsidP="008C47E1">
      <w:pPr>
        <w:pStyle w:val="JuQuot"/>
      </w:pPr>
      <w:r w:rsidRPr="00AB1F89">
        <w:t>“Having examined the statement</w:t>
      </w:r>
      <w:r w:rsidR="006B07B3" w:rsidRPr="007104F2">
        <w:t xml:space="preserve"> of appeal</w:t>
      </w:r>
      <w:r w:rsidRPr="007F5A7A">
        <w:t xml:space="preserve">, the court sees no grounds for granting </w:t>
      </w:r>
      <w:r w:rsidR="006B07B3" w:rsidRPr="007F5A7A">
        <w:t>[the appeal]</w:t>
      </w:r>
      <w:r w:rsidRPr="007F5A7A">
        <w:t>.</w:t>
      </w:r>
    </w:p>
    <w:p w:rsidR="008C47E1" w:rsidRPr="00141186" w:rsidRDefault="008C47E1" w:rsidP="008C47E1">
      <w:pPr>
        <w:pStyle w:val="JuQuot"/>
      </w:pPr>
      <w:r w:rsidRPr="007F5A7A">
        <w:t>The court of first instance</w:t>
      </w:r>
      <w:r w:rsidR="006B07B3" w:rsidRPr="003C303C">
        <w:t>,</w:t>
      </w:r>
      <w:r w:rsidRPr="003C303C">
        <w:t xml:space="preserve"> in line with </w:t>
      </w:r>
      <w:r w:rsidR="006B07B3" w:rsidRPr="003C303C">
        <w:t xml:space="preserve">the </w:t>
      </w:r>
      <w:r w:rsidRPr="003C303C">
        <w:t>requirements of Article 125 of the Code of Criminal Procedure o</w:t>
      </w:r>
      <w:r w:rsidRPr="00141186">
        <w:t>f Russia (“CCP”)</w:t>
      </w:r>
      <w:r w:rsidR="006B07B3" w:rsidRPr="00141186">
        <w:t>,</w:t>
      </w:r>
      <w:r w:rsidRPr="00141186">
        <w:t xml:space="preserve"> examined </w:t>
      </w:r>
      <w:r w:rsidR="006B07B3" w:rsidRPr="00141186">
        <w:t xml:space="preserve">the </w:t>
      </w:r>
      <w:r w:rsidRPr="00141186">
        <w:t xml:space="preserve">reasons </w:t>
      </w:r>
      <w:r w:rsidR="006B07B3" w:rsidRPr="00141186">
        <w:t xml:space="preserve">for </w:t>
      </w:r>
      <w:r w:rsidRPr="00141186">
        <w:t>the investigator</w:t>
      </w:r>
      <w:r w:rsidR="00C5795F">
        <w:t>’</w:t>
      </w:r>
      <w:r w:rsidRPr="00141186">
        <w:t>s refusal and its lawfulness.</w:t>
      </w:r>
    </w:p>
    <w:p w:rsidR="008C47E1" w:rsidRPr="00141186" w:rsidRDefault="008C47E1" w:rsidP="008C47E1">
      <w:pPr>
        <w:pStyle w:val="JuQuot"/>
      </w:pPr>
      <w:r w:rsidRPr="00141186">
        <w:t>The conclusion</w:t>
      </w:r>
      <w:r w:rsidR="006B07B3" w:rsidRPr="00141186">
        <w:t>s</w:t>
      </w:r>
      <w:r w:rsidRPr="00141186">
        <w:t xml:space="preserve"> in the court</w:t>
      </w:r>
      <w:r w:rsidR="00C5795F">
        <w:t>’</w:t>
      </w:r>
      <w:r w:rsidRPr="00141186">
        <w:t xml:space="preserve">s decision </w:t>
      </w:r>
      <w:r w:rsidR="006B07B3" w:rsidRPr="00141186">
        <w:t xml:space="preserve">were validly </w:t>
      </w:r>
      <w:r w:rsidRPr="00141186">
        <w:t xml:space="preserve">made on the basis of </w:t>
      </w:r>
      <w:r w:rsidR="006B07B3" w:rsidRPr="00141186">
        <w:t xml:space="preserve">an examination of </w:t>
      </w:r>
      <w:r w:rsidRPr="00141186">
        <w:t>the case file</w:t>
      </w:r>
      <w:r w:rsidR="006B07B3" w:rsidRPr="00141186">
        <w:t>,</w:t>
      </w:r>
      <w:r w:rsidRPr="00141186">
        <w:t xml:space="preserve"> which </w:t>
      </w:r>
      <w:r w:rsidR="006B07B3" w:rsidRPr="00141186">
        <w:t>allows this</w:t>
      </w:r>
      <w:r w:rsidRPr="00141186">
        <w:t xml:space="preserve"> court to uphold the trial court</w:t>
      </w:r>
      <w:r w:rsidR="00C5795F">
        <w:t>’</w:t>
      </w:r>
      <w:r w:rsidRPr="00141186">
        <w:t>s findings</w:t>
      </w:r>
      <w:r w:rsidR="007A357A">
        <w:t> </w:t>
      </w:r>
      <w:r w:rsidRPr="00141186">
        <w:t>...</w:t>
      </w:r>
    </w:p>
    <w:p w:rsidR="008C47E1" w:rsidRPr="00141186" w:rsidRDefault="008C47E1" w:rsidP="008C47E1">
      <w:pPr>
        <w:pStyle w:val="JuQuot"/>
      </w:pPr>
      <w:r w:rsidRPr="00141186">
        <w:t xml:space="preserve">The argument </w:t>
      </w:r>
      <w:r w:rsidR="006B07B3" w:rsidRPr="00141186">
        <w:t xml:space="preserve">[made] in </w:t>
      </w:r>
      <w:r w:rsidRPr="00141186">
        <w:t>the statement</w:t>
      </w:r>
      <w:r w:rsidR="006B07B3" w:rsidRPr="00141186">
        <w:t xml:space="preserve"> of appeal</w:t>
      </w:r>
      <w:r w:rsidRPr="00141186">
        <w:t xml:space="preserve"> lodged by the [applicant</w:t>
      </w:r>
      <w:r w:rsidR="00C5795F">
        <w:t>’</w:t>
      </w:r>
      <w:r w:rsidRPr="00141186">
        <w:t xml:space="preserve">s] lawyer concerning </w:t>
      </w:r>
      <w:r w:rsidR="006B07B3" w:rsidRPr="00141186">
        <w:t xml:space="preserve">the </w:t>
      </w:r>
      <w:r w:rsidRPr="00141186">
        <w:t>unreasonableness of the refusal is baseless.</w:t>
      </w:r>
    </w:p>
    <w:p w:rsidR="008C47E1" w:rsidRPr="00141186" w:rsidRDefault="008C47E1" w:rsidP="008C47E1">
      <w:pPr>
        <w:pStyle w:val="JuQuot"/>
      </w:pPr>
      <w:r w:rsidRPr="00141186">
        <w:t>The court of first instance correctly pointed out that information about [the applicant</w:t>
      </w:r>
      <w:r w:rsidR="00C5795F">
        <w:t>’</w:t>
      </w:r>
      <w:r w:rsidRPr="00141186">
        <w:t xml:space="preserve">s] injuries [could not be admitted as evidence] </w:t>
      </w:r>
      <w:r w:rsidR="009678A1" w:rsidRPr="00141186">
        <w:t xml:space="preserve">because </w:t>
      </w:r>
      <w:r w:rsidRPr="00141186">
        <w:t xml:space="preserve">there were separate proceedings pending before the investigative authorities [to check </w:t>
      </w:r>
      <w:r w:rsidR="009678A1" w:rsidRPr="00141186">
        <w:t xml:space="preserve">whether </w:t>
      </w:r>
      <w:r w:rsidRPr="00141186">
        <w:t xml:space="preserve">the medical certificates </w:t>
      </w:r>
      <w:r w:rsidR="009678A1" w:rsidRPr="00141186">
        <w:t>had been</w:t>
      </w:r>
      <w:r w:rsidRPr="00141186">
        <w:t xml:space="preserve"> falsified]. The court had no jurisdiction to assess [the medical evidence] in the proceedings under </w:t>
      </w:r>
      <w:r w:rsidR="009678A1" w:rsidRPr="00141186">
        <w:t xml:space="preserve">Article </w:t>
      </w:r>
      <w:r w:rsidRPr="00141186">
        <w:t>125 of the CCP.</w:t>
      </w:r>
    </w:p>
    <w:p w:rsidR="008C47E1" w:rsidRPr="00141186" w:rsidRDefault="008C47E1" w:rsidP="008C47E1">
      <w:pPr>
        <w:pStyle w:val="JuQuot"/>
      </w:pPr>
      <w:r w:rsidRPr="00141186">
        <w:t>The defence</w:t>
      </w:r>
      <w:r w:rsidR="00C5795F">
        <w:t>’</w:t>
      </w:r>
      <w:r w:rsidRPr="00141186">
        <w:t xml:space="preserve">s claim concerning </w:t>
      </w:r>
      <w:r w:rsidR="009678A1" w:rsidRPr="00141186">
        <w:t xml:space="preserve">the </w:t>
      </w:r>
      <w:r w:rsidRPr="00141186">
        <w:t xml:space="preserve">arbitrary assessment of the evidence is a </w:t>
      </w:r>
      <w:r w:rsidR="009678A1" w:rsidRPr="00141186">
        <w:t xml:space="preserve">pernicious </w:t>
      </w:r>
      <w:r w:rsidRPr="00141186">
        <w:t>argument</w:t>
      </w:r>
      <w:r w:rsidR="009678A1" w:rsidRPr="00141186">
        <w:t>,</w:t>
      </w:r>
      <w:r w:rsidRPr="00141186">
        <w:t xml:space="preserve"> as in the relevant part of the proceedings the court had no jurisdiction to assess</w:t>
      </w:r>
      <w:r w:rsidR="009678A1" w:rsidRPr="00141186">
        <w:t xml:space="preserve"> [this aspect]</w:t>
      </w:r>
      <w:r w:rsidRPr="00141186">
        <w:t xml:space="preserve"> of the collected evidence </w:t>
      </w:r>
      <w:r w:rsidR="009678A1" w:rsidRPr="00141186">
        <w:t xml:space="preserve">because </w:t>
      </w:r>
      <w:r w:rsidRPr="00141186">
        <w:t>the case was not being examined in full.</w:t>
      </w:r>
    </w:p>
    <w:p w:rsidR="008C47E1" w:rsidRPr="00141186" w:rsidRDefault="008C47E1" w:rsidP="008C47E1">
      <w:pPr>
        <w:pStyle w:val="JuQuot"/>
      </w:pPr>
      <w:r w:rsidRPr="00141186">
        <w:t>The refusal was issued by a competent official of the Prosecutor</w:t>
      </w:r>
      <w:r w:rsidR="00C5795F">
        <w:t>’</w:t>
      </w:r>
      <w:r w:rsidRPr="00141186">
        <w:t xml:space="preserve">s Office within its jurisdiction and in line with requirements of </w:t>
      </w:r>
      <w:r w:rsidR="006B07B3" w:rsidRPr="00141186">
        <w:t xml:space="preserve">Articles </w:t>
      </w:r>
      <w:r w:rsidRPr="00141186">
        <w:t>145 and 148 of the CCP.</w:t>
      </w:r>
    </w:p>
    <w:p w:rsidR="008C47E1" w:rsidRPr="00141186" w:rsidRDefault="008C47E1" w:rsidP="008C47E1">
      <w:pPr>
        <w:pStyle w:val="JuQuot"/>
      </w:pPr>
      <w:r w:rsidRPr="00141186">
        <w:t>Taking into account the aforementioned consideration</w:t>
      </w:r>
      <w:r w:rsidR="000B1A6C" w:rsidRPr="00141186">
        <w:t>s,</w:t>
      </w:r>
      <w:r w:rsidRPr="00141186">
        <w:t xml:space="preserve"> the court concludes that the trial</w:t>
      </w:r>
      <w:r w:rsidR="00C5795F">
        <w:t>’</w:t>
      </w:r>
      <w:r w:rsidRPr="00141186">
        <w:t>s court</w:t>
      </w:r>
      <w:r w:rsidR="00C5795F">
        <w:t>’</w:t>
      </w:r>
      <w:r w:rsidRPr="00141186">
        <w:t>s decision of 12 May 2005 is reasoned and lawful.”</w:t>
      </w:r>
    </w:p>
    <w:p w:rsidR="00F711C7" w:rsidRDefault="00F711C7" w:rsidP="00F711C7">
      <w:pPr>
        <w:pStyle w:val="JuPara"/>
      </w:pPr>
      <w:r w:rsidRPr="008970F4">
        <w:fldChar w:fldCharType="begin"/>
      </w:r>
      <w:r w:rsidRPr="00141186">
        <w:instrText xml:space="preserve"> SEQ level0 \*arabic </w:instrText>
      </w:r>
      <w:r w:rsidRPr="00141186">
        <w:fldChar w:fldCharType="separate"/>
      </w:r>
      <w:r w:rsidR="00B41E90">
        <w:rPr>
          <w:noProof/>
        </w:rPr>
        <w:t>32</w:t>
      </w:r>
      <w:r w:rsidRPr="007F5A7A">
        <w:fldChar w:fldCharType="end"/>
      </w:r>
      <w:r w:rsidRPr="008970F4">
        <w:t>.  On 10 September 2008 the criminal investigation instituted by order of 21 March 2005 in connection with the alleged falsification of the applicant</w:t>
      </w:r>
      <w:r w:rsidR="00C5795F">
        <w:t>’</w:t>
      </w:r>
      <w:r w:rsidRPr="008970F4">
        <w:t>s medical records and mentioned in the judgment of 21 May 2005 (see paragraph</w:t>
      </w:r>
      <w:r w:rsidR="007F5A7A">
        <w:t>s</w:t>
      </w:r>
      <w:r w:rsidRPr="008970F4">
        <w:t xml:space="preserve"> </w:t>
      </w:r>
      <w:r w:rsidR="00C5003E">
        <w:rPr>
          <w:noProof/>
        </w:rPr>
        <w:t>30</w:t>
      </w:r>
      <w:r w:rsidRPr="008970F4">
        <w:t xml:space="preserve"> </w:t>
      </w:r>
      <w:r w:rsidR="007F5A7A">
        <w:t xml:space="preserve">and </w:t>
      </w:r>
      <w:r w:rsidR="00C5003E">
        <w:rPr>
          <w:noProof/>
        </w:rPr>
        <w:t>31</w:t>
      </w:r>
      <w:r w:rsidR="007F5A7A">
        <w:t xml:space="preserve"> </w:t>
      </w:r>
      <w:r w:rsidRPr="008970F4">
        <w:t>above) was discontinued for the lack of indication of any crime.</w:t>
      </w:r>
    </w:p>
    <w:p w:rsidR="008C47E1" w:rsidRPr="008970F4" w:rsidRDefault="008C47E1" w:rsidP="008C47E1">
      <w:pPr>
        <w:pStyle w:val="JuHIRoman"/>
        <w:outlineLvl w:val="0"/>
      </w:pPr>
      <w:r w:rsidRPr="008970F4">
        <w:t>II.  RELEVANT DOMESTIC LAW</w:t>
      </w:r>
    </w:p>
    <w:p w:rsidR="008C47E1" w:rsidRPr="00AB1F89" w:rsidRDefault="008C47E1" w:rsidP="008C47E1">
      <w:pPr>
        <w:pStyle w:val="JuHA"/>
      </w:pPr>
      <w:r w:rsidRPr="00AB1F89">
        <w:t>A.</w:t>
      </w:r>
      <w:r w:rsidR="00B526B3">
        <w:t>  </w:t>
      </w:r>
      <w:r w:rsidRPr="00AB1F89">
        <w:t>Constitution of the Russian Federation</w:t>
      </w:r>
    </w:p>
    <w:p w:rsidR="008C47E1" w:rsidRPr="00AB1F89"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33</w:t>
      </w:r>
      <w:r w:rsidRPr="007F5A7A">
        <w:fldChar w:fldCharType="end"/>
      </w:r>
      <w:r w:rsidRPr="008970F4">
        <w:t>.  Articles 20, 21 and 20 of the Constitution provide that everyone has the right</w:t>
      </w:r>
      <w:r w:rsidRPr="00AB1F89">
        <w:t xml:space="preserve"> to life and the right to liberty and personal security, which are guaranteed and protected by the State. No one shall be subjected to cruel or degrading treatment or punishment.</w:t>
      </w:r>
    </w:p>
    <w:p w:rsidR="008C47E1" w:rsidRPr="00AB1F89"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34</w:t>
      </w:r>
      <w:r w:rsidRPr="007F5A7A">
        <w:fldChar w:fldCharType="end"/>
      </w:r>
      <w:r w:rsidRPr="008970F4">
        <w:t>.  Articles 45 and 46 of the Constitution guarant</w:t>
      </w:r>
      <w:r w:rsidRPr="00AB1F89">
        <w:t>ee the judicial protection of Constitutional rights.</w:t>
      </w:r>
    </w:p>
    <w:p w:rsidR="008C47E1" w:rsidRPr="007F5A7A"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35</w:t>
      </w:r>
      <w:r w:rsidRPr="007F5A7A">
        <w:fldChar w:fldCharType="end"/>
      </w:r>
      <w:r w:rsidRPr="008970F4">
        <w:t>.  Articles 52 and 53 of the Constitution protect the rights of victims of crimes. The State guarantees victims access to justice and compensation of damage. Everyone is entit</w:t>
      </w:r>
      <w:r w:rsidRPr="00AB1F89">
        <w:t xml:space="preserve">led to compensation of damage caused by </w:t>
      </w:r>
      <w:r w:rsidR="002B776C" w:rsidRPr="007104F2">
        <w:t xml:space="preserve">the </w:t>
      </w:r>
      <w:r w:rsidRPr="007F5A7A">
        <w:t>unlawful actions of State officials.</w:t>
      </w:r>
    </w:p>
    <w:p w:rsidR="008C47E1" w:rsidRPr="007F5A7A" w:rsidRDefault="008C47E1" w:rsidP="008C47E1">
      <w:pPr>
        <w:pStyle w:val="JuHA"/>
      </w:pPr>
      <w:r w:rsidRPr="007F5A7A">
        <w:t>B.</w:t>
      </w:r>
      <w:r w:rsidR="00B526B3">
        <w:t>  </w:t>
      </w:r>
      <w:r w:rsidRPr="007F5A7A">
        <w:t>Russian Criminal Code</w:t>
      </w:r>
    </w:p>
    <w:p w:rsidR="008C47E1" w:rsidRPr="00141186"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36</w:t>
      </w:r>
      <w:r w:rsidRPr="007F5A7A">
        <w:fldChar w:fldCharType="end"/>
      </w:r>
      <w:r w:rsidRPr="008970F4">
        <w:t xml:space="preserve">.  Article 112 § 1 of the Criminal Code of the Russian Federation of 13 June 1996 provides that </w:t>
      </w:r>
      <w:r w:rsidRPr="00AB1F89">
        <w:t>intentionally causi</w:t>
      </w:r>
      <w:r w:rsidRPr="007104F2">
        <w:t xml:space="preserve">ng bodily harm of medium </w:t>
      </w:r>
      <w:r w:rsidR="00A8732B" w:rsidRPr="007F5A7A">
        <w:t xml:space="preserve">severity </w:t>
      </w:r>
      <w:r w:rsidR="002B776C" w:rsidRPr="007F5A7A">
        <w:t xml:space="preserve">but </w:t>
      </w:r>
      <w:r w:rsidRPr="007F5A7A">
        <w:t xml:space="preserve">which </w:t>
      </w:r>
      <w:r w:rsidR="002B776C" w:rsidRPr="003C303C">
        <w:t xml:space="preserve">does not risk </w:t>
      </w:r>
      <w:r w:rsidR="00441BDB" w:rsidRPr="003C303C">
        <w:t>the victim</w:t>
      </w:r>
      <w:r w:rsidR="00C5795F">
        <w:t>’</w:t>
      </w:r>
      <w:r w:rsidR="002B776C" w:rsidRPr="003C303C">
        <w:t>s</w:t>
      </w:r>
      <w:r w:rsidRPr="003C303C">
        <w:t xml:space="preserve"> life </w:t>
      </w:r>
      <w:r w:rsidR="002B776C" w:rsidRPr="00141186">
        <w:t>or</w:t>
      </w:r>
      <w:r w:rsidRPr="00141186">
        <w:t xml:space="preserve"> result in </w:t>
      </w:r>
      <w:r w:rsidR="002B776C" w:rsidRPr="00141186">
        <w:t xml:space="preserve">the </w:t>
      </w:r>
      <w:r w:rsidRPr="00141186">
        <w:t xml:space="preserve">consequences listed in Articles 111 of the present Code, but </w:t>
      </w:r>
      <w:r w:rsidR="002B776C" w:rsidRPr="00141186">
        <w:t xml:space="preserve">which </w:t>
      </w:r>
      <w:r w:rsidRPr="00141186">
        <w:t xml:space="preserve">leads to </w:t>
      </w:r>
      <w:r w:rsidR="002B776C" w:rsidRPr="00141186">
        <w:t xml:space="preserve">sustained </w:t>
      </w:r>
      <w:r w:rsidR="00A8732B" w:rsidRPr="00141186">
        <w:t>damage to</w:t>
      </w:r>
      <w:r w:rsidR="00441BDB" w:rsidRPr="00141186">
        <w:t xml:space="preserve"> the victim</w:t>
      </w:r>
      <w:r w:rsidR="00C5795F">
        <w:t>’</w:t>
      </w:r>
      <w:r w:rsidR="00441BDB" w:rsidRPr="00141186">
        <w:t>s</w:t>
      </w:r>
      <w:r w:rsidR="00A8732B" w:rsidRPr="00141186">
        <w:t xml:space="preserve"> </w:t>
      </w:r>
      <w:r w:rsidRPr="00141186">
        <w:t xml:space="preserve">health or </w:t>
      </w:r>
      <w:r w:rsidR="00441BDB" w:rsidRPr="00141186">
        <w:t xml:space="preserve">permanent </w:t>
      </w:r>
      <w:r w:rsidRPr="00141186">
        <w:t xml:space="preserve">loss of </w:t>
      </w:r>
      <w:r w:rsidR="00A8732B" w:rsidRPr="00141186">
        <w:t xml:space="preserve">up to a third of </w:t>
      </w:r>
      <w:r w:rsidR="00441BDB" w:rsidRPr="00141186">
        <w:t>his or her</w:t>
      </w:r>
      <w:r w:rsidRPr="00141186">
        <w:t xml:space="preserve"> work </w:t>
      </w:r>
      <w:r w:rsidR="00A8732B" w:rsidRPr="00141186">
        <w:t xml:space="preserve">capacity </w:t>
      </w:r>
      <w:r w:rsidRPr="00141186">
        <w:t xml:space="preserve">is punishable by </w:t>
      </w:r>
      <w:r w:rsidR="00A8732B" w:rsidRPr="00141186">
        <w:t xml:space="preserve">detention </w:t>
      </w:r>
      <w:r w:rsidRPr="00141186">
        <w:t xml:space="preserve">from three to six months or deprivation of liberty </w:t>
      </w:r>
      <w:r w:rsidR="00A8732B" w:rsidRPr="00141186">
        <w:t xml:space="preserve">for a term of up </w:t>
      </w:r>
      <w:r w:rsidRPr="00141186">
        <w:t xml:space="preserve">to three years. The same offence, </w:t>
      </w:r>
      <w:r w:rsidR="002B776C" w:rsidRPr="00141186">
        <w:t xml:space="preserve">if </w:t>
      </w:r>
      <w:r w:rsidRPr="00141186">
        <w:t>committed by a group of individuals</w:t>
      </w:r>
      <w:r w:rsidR="002B776C" w:rsidRPr="00141186">
        <w:t>,</w:t>
      </w:r>
      <w:r w:rsidRPr="00141186">
        <w:t xml:space="preserve"> is punishable by deprivation of liberty for a term </w:t>
      </w:r>
      <w:r w:rsidR="002B776C" w:rsidRPr="00141186">
        <w:t xml:space="preserve">of up </w:t>
      </w:r>
      <w:r w:rsidRPr="00141186">
        <w:t>to five years.</w:t>
      </w:r>
    </w:p>
    <w:p w:rsidR="008C47E1" w:rsidRPr="00AB1F89"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37</w:t>
      </w:r>
      <w:r w:rsidRPr="007F5A7A">
        <w:fldChar w:fldCharType="end"/>
      </w:r>
      <w:r w:rsidRPr="008970F4">
        <w:t>.  Article 286 § 3(a) of the Criminal Code provides that actions of a public official which clearly exceed his authority and entail a substantial violation of the rights and lawful interests of citizens, committed with violence or t</w:t>
      </w:r>
      <w:r w:rsidRPr="00AB1F89">
        <w:t>he threat of violence, are punishable by three to ten years</w:t>
      </w:r>
      <w:r w:rsidR="00C5795F">
        <w:t>’</w:t>
      </w:r>
      <w:r w:rsidRPr="00AB1F89">
        <w:t xml:space="preserve"> imprisonment, with a prohibition on occupying certain posts or engaging in certain activities for a period of three years.</w:t>
      </w:r>
    </w:p>
    <w:p w:rsidR="008C47E1" w:rsidRPr="007104F2" w:rsidRDefault="008C47E1" w:rsidP="008C47E1">
      <w:pPr>
        <w:pStyle w:val="JuHA"/>
      </w:pPr>
      <w:r w:rsidRPr="007104F2">
        <w:t>C.</w:t>
      </w:r>
      <w:r w:rsidR="00B526B3">
        <w:t>  </w:t>
      </w:r>
      <w:r w:rsidRPr="007104F2">
        <w:t>Russian Code of Criminal Procedure</w:t>
      </w:r>
    </w:p>
    <w:p w:rsidR="008C47E1" w:rsidRPr="007F5A7A"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38</w:t>
      </w:r>
      <w:r w:rsidRPr="007F5A7A">
        <w:fldChar w:fldCharType="end"/>
      </w:r>
      <w:r w:rsidRPr="008970F4">
        <w:t>.  Ar</w:t>
      </w:r>
      <w:r w:rsidRPr="00AB1F89">
        <w:t>ticle 140 of the CCP provides that criminal proceedings should be instituted if there is sufficient information which indicates signs of a criminal offence</w:t>
      </w:r>
      <w:r w:rsidR="002B776C" w:rsidRPr="007104F2">
        <w:t xml:space="preserve"> having take</w:t>
      </w:r>
      <w:r w:rsidR="002B776C" w:rsidRPr="007F5A7A">
        <w:t>n place</w:t>
      </w:r>
      <w:r w:rsidRPr="007F5A7A">
        <w:t>.</w:t>
      </w:r>
    </w:p>
    <w:p w:rsidR="008C47E1" w:rsidRPr="007104F2"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39</w:t>
      </w:r>
      <w:r w:rsidRPr="007F5A7A">
        <w:fldChar w:fldCharType="end"/>
      </w:r>
      <w:r w:rsidRPr="008970F4">
        <w:t>.  Article 144 of the CCP provides that prosecutors,</w:t>
      </w:r>
      <w:r w:rsidRPr="00AB1F89">
        <w:t xml:space="preserve"> investigators and inquiry bodies must consider applications and information about any crime committed or being prepared, and take a decision on that information within three days. In exceptional cases, that time-limit can be extended to ten days. The</w:t>
      </w:r>
      <w:r w:rsidRPr="007104F2">
        <w:t xml:space="preserve"> decision should be one of the following: (a) to institute criminal proceedings; (b) to refuse to institute criminal proceedings; or (c) to transmit the information to another competent authority (Article 145 of the CCP).</w:t>
      </w:r>
    </w:p>
    <w:p w:rsidR="008C47E1" w:rsidRPr="007F5A7A"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40</w:t>
      </w:r>
      <w:r w:rsidRPr="007F5A7A">
        <w:fldChar w:fldCharType="end"/>
      </w:r>
      <w:r w:rsidRPr="008970F4">
        <w:t xml:space="preserve">.  Article </w:t>
      </w:r>
      <w:r w:rsidRPr="00AB1F89">
        <w:t>125 of the CCP provides that the decision of an investigator or a prosecutor to dispense with or terminate criminal proceedings, and other decisions and acts or omissions which are liable to infringe the constitutional rights and freedoms of the parti</w:t>
      </w:r>
      <w:r w:rsidRPr="007104F2">
        <w:t>es to criminal proceedings or to impede citizens</w:t>
      </w:r>
      <w:r w:rsidR="00C5795F">
        <w:t>’</w:t>
      </w:r>
      <w:r w:rsidRPr="007104F2">
        <w:t xml:space="preserve"> access to justice, may be appealed against to a District Court, which is empowered to check the lawfulness and grounds</w:t>
      </w:r>
      <w:r w:rsidRPr="007F5A7A">
        <w:t xml:space="preserve"> of the impugned decisions.</w:t>
      </w:r>
    </w:p>
    <w:p w:rsidR="008C47E1" w:rsidRPr="007104F2"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41</w:t>
      </w:r>
      <w:r w:rsidRPr="007F5A7A">
        <w:fldChar w:fldCharType="end"/>
      </w:r>
      <w:r w:rsidRPr="008970F4">
        <w:t>.  Article 213 of the CCP provides th</w:t>
      </w:r>
      <w:r w:rsidRPr="00AB1F89">
        <w:t xml:space="preserve">at, in order to terminate the proceedings, the investigator should adopt a reasoned decision with a statement of the substance of the case and the reasons for its termination. A copy of the decision to terminate the proceedings should be forwarded by </w:t>
      </w:r>
      <w:r w:rsidRPr="007104F2">
        <w:t>the investigator to the prosecutor</w:t>
      </w:r>
      <w:r w:rsidR="00C5795F">
        <w:t>’</w:t>
      </w:r>
      <w:r w:rsidRPr="007104F2">
        <w:t>s office. The investigator should also notify the victim and the complainant in writing of the termination of the proceedings.</w:t>
      </w:r>
    </w:p>
    <w:p w:rsidR="008C47E1" w:rsidRPr="007F5A7A"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42</w:t>
      </w:r>
      <w:r w:rsidRPr="007F5A7A">
        <w:fldChar w:fldCharType="end"/>
      </w:r>
      <w:r w:rsidRPr="008970F4">
        <w:t>.  Under Article 221 of the CCP, the prosecutor</w:t>
      </w:r>
      <w:r w:rsidR="00C5795F">
        <w:t>’</w:t>
      </w:r>
      <w:r w:rsidRPr="008970F4">
        <w:t>s office is responsible</w:t>
      </w:r>
      <w:r w:rsidRPr="00AB1F89">
        <w:t xml:space="preserve"> for general supervision of the investigation. In particular, the prosecutor</w:t>
      </w:r>
      <w:r w:rsidR="00C5795F">
        <w:t>’</w:t>
      </w:r>
      <w:r w:rsidRPr="00AB1F89">
        <w:t xml:space="preserve">s office may order that specific investigative measures be carried out, transfer the case from one investigator to another, or reverse unlawful and unsubstantiated decisions </w:t>
      </w:r>
      <w:r w:rsidRPr="007104F2">
        <w:t>taken by investigators and inquiry bodies.</w:t>
      </w:r>
    </w:p>
    <w:p w:rsidR="003623AA" w:rsidRPr="007F5A7A" w:rsidRDefault="00141186" w:rsidP="003623AA">
      <w:pPr>
        <w:pStyle w:val="JuHA"/>
      </w:pPr>
      <w:r>
        <w:t>D</w:t>
      </w:r>
      <w:r w:rsidR="003623AA" w:rsidRPr="007F5A7A">
        <w:t>.  Operational-Search Activities Act</w:t>
      </w:r>
    </w:p>
    <w:p w:rsidR="003623AA" w:rsidRPr="007104F2" w:rsidRDefault="003623AA" w:rsidP="003623AA">
      <w:pPr>
        <w:pStyle w:val="JuPara"/>
      </w:pPr>
      <w:r w:rsidRPr="008970F4">
        <w:fldChar w:fldCharType="begin"/>
      </w:r>
      <w:r w:rsidRPr="00141186">
        <w:instrText xml:space="preserve"> SEQ level0 \*arabic </w:instrText>
      </w:r>
      <w:r w:rsidRPr="00141186">
        <w:fldChar w:fldCharType="separate"/>
      </w:r>
      <w:r w:rsidR="00B41E90">
        <w:rPr>
          <w:noProof/>
        </w:rPr>
        <w:t>43</w:t>
      </w:r>
      <w:r w:rsidRPr="007F5A7A">
        <w:fldChar w:fldCharType="end"/>
      </w:r>
      <w:r w:rsidRPr="008970F4">
        <w:t>.  The Operational-Search Activities Act of 12 August 1995 (no. 144</w:t>
      </w:r>
      <w:r w:rsidRPr="008970F4">
        <w:noBreakHyphen/>
        <w:t>FZ) provides that the aims of operative search activities are: (1) the detection, prev</w:t>
      </w:r>
      <w:r w:rsidRPr="00AB1F89">
        <w:t>ention, suppression and investigation of criminal offences and identification of persons conspiring to commit, or committing, or having committed a criminal offence; (2) finding fugitives from justice and missing persons; (3) obtaining information abo</w:t>
      </w:r>
      <w:r w:rsidRPr="007104F2">
        <w:t>ut events or activities endangering the State, military, economical or ecological security of the Russian Federation (section 2).</w:t>
      </w:r>
    </w:p>
    <w:p w:rsidR="003623AA" w:rsidRPr="00AB1F89" w:rsidRDefault="003623AA" w:rsidP="003623AA">
      <w:pPr>
        <w:pStyle w:val="JuPara"/>
      </w:pPr>
      <w:r w:rsidRPr="008970F4">
        <w:fldChar w:fldCharType="begin"/>
      </w:r>
      <w:r w:rsidRPr="00141186">
        <w:instrText xml:space="preserve"> SEQ level0 \*arabic </w:instrText>
      </w:r>
      <w:r w:rsidRPr="00141186">
        <w:fldChar w:fldCharType="separate"/>
      </w:r>
      <w:r w:rsidR="00B41E90">
        <w:rPr>
          <w:noProof/>
        </w:rPr>
        <w:t>44</w:t>
      </w:r>
      <w:r w:rsidRPr="007F5A7A">
        <w:fldChar w:fldCharType="end"/>
      </w:r>
      <w:r w:rsidRPr="008970F4">
        <w:t>.  State officials and organs performing operational-search activities are to show respect for the privat</w:t>
      </w:r>
      <w:r w:rsidRPr="00AB1F89">
        <w:t>e and family life, home and correspondence of citizens. It is prohibited to perform operational-search activities to attain aims or objectives other than those specified in this Act (section 5).</w:t>
      </w:r>
    </w:p>
    <w:p w:rsidR="003623AA" w:rsidRPr="008970F4" w:rsidRDefault="003623AA" w:rsidP="003623AA">
      <w:pPr>
        <w:pStyle w:val="JuPara"/>
      </w:pPr>
      <w:r w:rsidRPr="008970F4">
        <w:fldChar w:fldCharType="begin"/>
      </w:r>
      <w:r w:rsidRPr="00141186">
        <w:instrText xml:space="preserve"> SEQ level0 \*arabic </w:instrText>
      </w:r>
      <w:r w:rsidRPr="00141186">
        <w:fldChar w:fldCharType="separate"/>
      </w:r>
      <w:r w:rsidR="00B41E90">
        <w:rPr>
          <w:noProof/>
        </w:rPr>
        <w:t>45</w:t>
      </w:r>
      <w:r w:rsidRPr="007F5A7A">
        <w:fldChar w:fldCharType="end"/>
      </w:r>
      <w:r w:rsidRPr="008970F4">
        <w:t>.  Operational-search activities in</w:t>
      </w:r>
      <w:r w:rsidRPr="00AB1F89">
        <w:t>clude</w:t>
      </w:r>
      <w:r w:rsidRPr="007104F2">
        <w:rPr>
          <w:i/>
        </w:rPr>
        <w:t>, inter alia</w:t>
      </w:r>
      <w:r w:rsidRPr="007F5A7A">
        <w:t xml:space="preserve">, </w:t>
      </w:r>
      <w:r w:rsidR="00D2164F" w:rsidRPr="007F5A7A">
        <w:t>operative drills (</w:t>
      </w:r>
      <w:r w:rsidR="00D2164F" w:rsidRPr="00141186">
        <w:rPr>
          <w:i/>
          <w:lang w:val="ru-RU"/>
        </w:rPr>
        <w:t>оперативный</w:t>
      </w:r>
      <w:r w:rsidR="00D2164F" w:rsidRPr="00141186">
        <w:rPr>
          <w:i/>
          <w:lang w:val="en-US"/>
        </w:rPr>
        <w:t xml:space="preserve"> </w:t>
      </w:r>
      <w:r w:rsidR="00D2164F" w:rsidRPr="00141186">
        <w:rPr>
          <w:i/>
          <w:lang w:val="ru-RU"/>
        </w:rPr>
        <w:t>эксперимент</w:t>
      </w:r>
      <w:r w:rsidR="00D2164F" w:rsidRPr="00141186">
        <w:rPr>
          <w:lang w:val="en-US"/>
        </w:rPr>
        <w:t xml:space="preserve">, </w:t>
      </w:r>
      <w:r w:rsidRPr="008970F4">
        <w:t>section 6).</w:t>
      </w:r>
    </w:p>
    <w:bookmarkStart w:id="30" w:name="osa"/>
    <w:p w:rsidR="003623AA" w:rsidRDefault="003623AA" w:rsidP="00D972C4">
      <w:pPr>
        <w:pStyle w:val="JuPara"/>
      </w:pPr>
      <w:r w:rsidRPr="008970F4">
        <w:fldChar w:fldCharType="begin"/>
      </w:r>
      <w:r w:rsidRPr="00141186">
        <w:instrText xml:space="preserve"> SEQ level0 \*arabic </w:instrText>
      </w:r>
      <w:r w:rsidRPr="00141186">
        <w:fldChar w:fldCharType="separate"/>
      </w:r>
      <w:r w:rsidR="00B41E90">
        <w:rPr>
          <w:noProof/>
        </w:rPr>
        <w:t>46</w:t>
      </w:r>
      <w:r w:rsidRPr="007F5A7A">
        <w:fldChar w:fldCharType="end"/>
      </w:r>
      <w:bookmarkEnd w:id="30"/>
      <w:r w:rsidRPr="008970F4">
        <w:t xml:space="preserve">.  Section 7 of the Operational-Search Activities Act provides that operational-search activities may be conducted, </w:t>
      </w:r>
      <w:r w:rsidRPr="00AB1F89">
        <w:rPr>
          <w:i/>
        </w:rPr>
        <w:t>inter alia,</w:t>
      </w:r>
      <w:r w:rsidRPr="007104F2">
        <w:t xml:space="preserve"> </w:t>
      </w:r>
      <w:r w:rsidR="00D2164F" w:rsidRPr="007F5A7A">
        <w:t>pending criminal proceedings.</w:t>
      </w:r>
    </w:p>
    <w:p w:rsidR="008C47E1" w:rsidRPr="008970F4" w:rsidRDefault="008C47E1" w:rsidP="008C47E1">
      <w:pPr>
        <w:pStyle w:val="JuHHead"/>
      </w:pPr>
      <w:r w:rsidRPr="008970F4">
        <w:t>THE LAW</w:t>
      </w:r>
    </w:p>
    <w:p w:rsidR="008C47E1" w:rsidRPr="007F5A7A" w:rsidRDefault="008C47E1" w:rsidP="008C47E1">
      <w:pPr>
        <w:pStyle w:val="JuHIRoman"/>
      </w:pPr>
      <w:r w:rsidRPr="00AB1F89">
        <w:t>I.  ALLEGED VIOLATION OF ARTICLE 3 OF THE CONVENTION ON ACCOUNT OF ILL-TREATMENT AND</w:t>
      </w:r>
      <w:r w:rsidR="007F5A7A">
        <w:t xml:space="preserve"> THE</w:t>
      </w:r>
      <w:r w:rsidRPr="00AB1F89">
        <w:t xml:space="preserve"> RELATED INVESTIGATION</w:t>
      </w:r>
    </w:p>
    <w:p w:rsidR="008C47E1" w:rsidRPr="007F5A7A"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47</w:t>
      </w:r>
      <w:r w:rsidRPr="007F5A7A">
        <w:fldChar w:fldCharType="end"/>
      </w:r>
      <w:r w:rsidRPr="008970F4">
        <w:t xml:space="preserve">.  The applicant complained that he had been ill-treated by the policemen during the </w:t>
      </w:r>
      <w:r w:rsidR="00A0034D">
        <w:t>operative drill</w:t>
      </w:r>
      <w:r w:rsidR="004D2D86" w:rsidRPr="00AB1F89">
        <w:t xml:space="preserve"> </w:t>
      </w:r>
      <w:r w:rsidR="009B2E6A" w:rsidRPr="00AB1F89">
        <w:t xml:space="preserve">on </w:t>
      </w:r>
      <w:r w:rsidRPr="007104F2">
        <w:t>27 April 2004. He also complained th</w:t>
      </w:r>
      <w:r w:rsidRPr="007F5A7A">
        <w:t>at the authorities had failed to carry out a proper investigation in this connection. The Court will examine this complaint under Article 3 of the Convention, which reads as follows:</w:t>
      </w:r>
    </w:p>
    <w:p w:rsidR="008C47E1" w:rsidRPr="007F5A7A" w:rsidRDefault="008C47E1" w:rsidP="008C47E1">
      <w:pPr>
        <w:pStyle w:val="JuQuot"/>
      </w:pPr>
      <w:r w:rsidRPr="007F5A7A">
        <w:t>“No one shall be subjected to torture or to inhuman or degrading treatment or punishment.”</w:t>
      </w:r>
    </w:p>
    <w:p w:rsidR="008C47E1" w:rsidRPr="007F5A7A" w:rsidRDefault="008C47E1" w:rsidP="008C47E1">
      <w:pPr>
        <w:pStyle w:val="JuHA"/>
      </w:pPr>
      <w:r w:rsidRPr="007F5A7A">
        <w:t>A.  The parties</w:t>
      </w:r>
      <w:r w:rsidR="00C5795F">
        <w:t>’</w:t>
      </w:r>
      <w:r w:rsidRPr="007F5A7A">
        <w:t xml:space="preserve"> submissions</w:t>
      </w:r>
    </w:p>
    <w:bookmarkStart w:id="31" w:name="fourtytwo"/>
    <w:p w:rsidR="008C47E1" w:rsidRPr="00141186"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48</w:t>
      </w:r>
      <w:r w:rsidRPr="007F5A7A">
        <w:fldChar w:fldCharType="end"/>
      </w:r>
      <w:bookmarkEnd w:id="31"/>
      <w:r w:rsidRPr="008970F4">
        <w:t xml:space="preserve">.  The Government insisted that the applicant had failed to provide evidence of ill-treatment which </w:t>
      </w:r>
      <w:r w:rsidR="004E4784" w:rsidRPr="00AB1F89">
        <w:t xml:space="preserve">would </w:t>
      </w:r>
      <w:r w:rsidRPr="007104F2">
        <w:t xml:space="preserve">confirm his allegations beyond </w:t>
      </w:r>
      <w:r w:rsidR="004E4784" w:rsidRPr="007F5A7A">
        <w:t xml:space="preserve">a </w:t>
      </w:r>
      <w:r w:rsidRPr="007F5A7A">
        <w:t xml:space="preserve">reasonable doubt and that he had also failed to prove that his injuries had not been sustained </w:t>
      </w:r>
      <w:r w:rsidR="004E4784" w:rsidRPr="007F5A7A">
        <w:t xml:space="preserve">prior to </w:t>
      </w:r>
      <w:r w:rsidRPr="007F5A7A">
        <w:t xml:space="preserve">the </w:t>
      </w:r>
      <w:r w:rsidR="00A0034D">
        <w:t>operative drill</w:t>
      </w:r>
      <w:r w:rsidRPr="007F5A7A">
        <w:t>. At the same time</w:t>
      </w:r>
      <w:r w:rsidR="004E4784" w:rsidRPr="007F5A7A">
        <w:t>,</w:t>
      </w:r>
      <w:r w:rsidRPr="007F5A7A">
        <w:t xml:space="preserve"> they </w:t>
      </w:r>
      <w:r w:rsidR="00EC6404" w:rsidRPr="003C303C">
        <w:t xml:space="preserve">asserted </w:t>
      </w:r>
      <w:r w:rsidRPr="003C303C">
        <w:t xml:space="preserve">that the applicant had not challenged the police actions in court and had not </w:t>
      </w:r>
      <w:r w:rsidR="00181F3A" w:rsidRPr="003C303C">
        <w:t>sought to have</w:t>
      </w:r>
      <w:r w:rsidRPr="003C303C">
        <w:t xml:space="preserve"> criminal proceedings</w:t>
      </w:r>
      <w:r w:rsidR="00181F3A" w:rsidRPr="00141186">
        <w:t xml:space="preserve"> instituted</w:t>
      </w:r>
      <w:r w:rsidRPr="00141186">
        <w:t xml:space="preserve"> against the police officers.</w:t>
      </w:r>
    </w:p>
    <w:p w:rsidR="00141186"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49</w:t>
      </w:r>
      <w:r w:rsidRPr="007F5A7A">
        <w:fldChar w:fldCharType="end"/>
      </w:r>
      <w:r w:rsidRPr="008970F4">
        <w:t xml:space="preserve">.  The applicant disagreed and maintained his complaints. He referred, in particular, to the medical records noting his injuries. He stated that the genuineness of these medical records </w:t>
      </w:r>
      <w:r w:rsidR="0082279B" w:rsidRPr="00AB1F89">
        <w:t xml:space="preserve">had been </w:t>
      </w:r>
      <w:r w:rsidRPr="007104F2">
        <w:t>confirmed by t</w:t>
      </w:r>
      <w:r w:rsidRPr="007F5A7A">
        <w:t>he police investigation.</w:t>
      </w:r>
      <w:bookmarkStart w:id="32" w:name="fourtyfour"/>
    </w:p>
    <w:bookmarkEnd w:id="32"/>
    <w:p w:rsidR="008C47E1" w:rsidRPr="007F5A7A" w:rsidRDefault="00D02765" w:rsidP="008C47E1">
      <w:pPr>
        <w:pStyle w:val="JuPara"/>
      </w:pPr>
      <w:r>
        <w:fldChar w:fldCharType="begin"/>
      </w:r>
      <w:r>
        <w:instrText xml:space="preserve"> SEQ level0 \*arabic </w:instrText>
      </w:r>
      <w:r>
        <w:fldChar w:fldCharType="separate"/>
      </w:r>
      <w:r w:rsidR="00B41E90">
        <w:rPr>
          <w:noProof/>
        </w:rPr>
        <w:t>50</w:t>
      </w:r>
      <w:r>
        <w:fldChar w:fldCharType="end"/>
      </w:r>
      <w:r>
        <w:t>.  </w:t>
      </w:r>
      <w:r w:rsidR="008C47E1" w:rsidRPr="008970F4">
        <w:t xml:space="preserve">The applicant insisted that he had exhausted domestic remedies. According to the applicant, </w:t>
      </w:r>
      <w:r w:rsidR="00EC6404" w:rsidRPr="00AB1F89">
        <w:t>he had l</w:t>
      </w:r>
      <w:r w:rsidR="00EC6404" w:rsidRPr="007104F2">
        <w:t xml:space="preserve">odged </w:t>
      </w:r>
      <w:r w:rsidR="008C47E1" w:rsidRPr="007F5A7A">
        <w:t xml:space="preserve">the first crime report against S. </w:t>
      </w:r>
      <w:r w:rsidR="00EC6404" w:rsidRPr="007F5A7A">
        <w:t xml:space="preserve">because </w:t>
      </w:r>
      <w:r w:rsidR="008C47E1" w:rsidRPr="007F5A7A">
        <w:t xml:space="preserve">he </w:t>
      </w:r>
      <w:r w:rsidR="00AE57DF" w:rsidRPr="007F5A7A">
        <w:t xml:space="preserve">had </w:t>
      </w:r>
      <w:r w:rsidR="008C47E1" w:rsidRPr="003C303C">
        <w:t xml:space="preserve">genuinely believed that he had been beaten by S. and his personal security service. As soon as he had become aware </w:t>
      </w:r>
      <w:r w:rsidR="00AE57DF" w:rsidRPr="003C303C">
        <w:t xml:space="preserve">of </w:t>
      </w:r>
      <w:r w:rsidR="008C47E1" w:rsidRPr="003C303C">
        <w:t xml:space="preserve">the police involvement in the incident, he </w:t>
      </w:r>
      <w:r w:rsidR="00AE57DF" w:rsidRPr="00141186">
        <w:t xml:space="preserve">had </w:t>
      </w:r>
      <w:r w:rsidR="008C47E1" w:rsidRPr="00141186">
        <w:t xml:space="preserve">lodged a new </w:t>
      </w:r>
      <w:r w:rsidR="00AE57DF" w:rsidRPr="00141186">
        <w:t>complaint</w:t>
      </w:r>
      <w:r w:rsidR="008C47E1" w:rsidRPr="00141186">
        <w:t xml:space="preserve"> seeking </w:t>
      </w:r>
      <w:r w:rsidR="00AE57DF" w:rsidRPr="00141186">
        <w:t xml:space="preserve">the </w:t>
      </w:r>
      <w:r w:rsidR="008C47E1" w:rsidRPr="00141186">
        <w:t xml:space="preserve">prosecution of the policemen involved in the </w:t>
      </w:r>
      <w:r w:rsidR="00A0034D">
        <w:t>operative drill</w:t>
      </w:r>
      <w:r w:rsidR="008C47E1" w:rsidRPr="007F5A7A">
        <w:t>.</w:t>
      </w:r>
    </w:p>
    <w:p w:rsidR="008C47E1" w:rsidRPr="007F5A7A" w:rsidRDefault="00B526B3" w:rsidP="00F711C7">
      <w:pPr>
        <w:pStyle w:val="JuHA"/>
      </w:pPr>
      <w:r>
        <w:t>B. </w:t>
      </w:r>
      <w:r w:rsidR="00F711C7" w:rsidRPr="007F5A7A">
        <w:t> </w:t>
      </w:r>
      <w:r w:rsidR="008C47E1" w:rsidRPr="007F5A7A">
        <w:t>The Court</w:t>
      </w:r>
      <w:r w:rsidR="00C5795F">
        <w:t>’</w:t>
      </w:r>
      <w:r w:rsidR="008C47E1" w:rsidRPr="007F5A7A">
        <w:t>s assessment</w:t>
      </w:r>
    </w:p>
    <w:p w:rsidR="008C47E1" w:rsidRPr="007F5A7A" w:rsidRDefault="00B526B3" w:rsidP="007F5A7A">
      <w:pPr>
        <w:pStyle w:val="JuH1"/>
      </w:pPr>
      <w:r>
        <w:t>1.  </w:t>
      </w:r>
      <w:r w:rsidR="008C47E1" w:rsidRPr="007F5A7A">
        <w:t>Admissibility</w:t>
      </w:r>
    </w:p>
    <w:p w:rsidR="008C47E1" w:rsidRPr="007F5A7A" w:rsidRDefault="008C47E1" w:rsidP="00997B8C">
      <w:pPr>
        <w:pStyle w:val="JuPara"/>
      </w:pPr>
      <w:r w:rsidRPr="003C303C">
        <w:fldChar w:fldCharType="begin"/>
      </w:r>
      <w:r w:rsidRPr="00141186">
        <w:instrText xml:space="preserve"> SEQ level0 \*arabic </w:instrText>
      </w:r>
      <w:r w:rsidRPr="00141186">
        <w:fldChar w:fldCharType="separate"/>
      </w:r>
      <w:r w:rsidR="00B41E90">
        <w:rPr>
          <w:noProof/>
        </w:rPr>
        <w:t>51</w:t>
      </w:r>
      <w:r w:rsidRPr="003C303C">
        <w:fldChar w:fldCharType="end"/>
      </w:r>
      <w:r w:rsidRPr="003C303C">
        <w:t>.  </w:t>
      </w:r>
      <w:r w:rsidRPr="00141186">
        <w:t>As to the Government</w:t>
      </w:r>
      <w:r w:rsidR="00C5795F">
        <w:t>’</w:t>
      </w:r>
      <w:r w:rsidRPr="00141186">
        <w:t>s argument concerning non-exhaustion of domestic remedies, the Court reiterates that non-exhaustion of domestic remedies cannot be held against the applicant if, in spite of the latter</w:t>
      </w:r>
      <w:r w:rsidR="00C5795F">
        <w:t>’</w:t>
      </w:r>
      <w:r w:rsidRPr="00141186">
        <w:t xml:space="preserve">s failure to observe the formalities prescribed by law, the competent authority has nevertheless examined the substance of the claim (see, mutatis mutandis, </w:t>
      </w:r>
      <w:r w:rsidRPr="00141186">
        <w:rPr>
          <w:i/>
        </w:rPr>
        <w:t>Dzhavadov v. Russia</w:t>
      </w:r>
      <w:r w:rsidRPr="00141186">
        <w:t xml:space="preserve">, no. 30160/04, § 27, 27 September 2007; </w:t>
      </w:r>
      <w:r w:rsidRPr="00141186">
        <w:rPr>
          <w:i/>
        </w:rPr>
        <w:t>Skałka v. Poland</w:t>
      </w:r>
      <w:r w:rsidRPr="00141186">
        <w:t xml:space="preserve"> (dec.), no. 43425/98, 3 October 2002; </w:t>
      </w:r>
      <w:r w:rsidRPr="00141186">
        <w:rPr>
          <w:i/>
        </w:rPr>
        <w:t>Metropolitan Church of Bessarabia and Others v. Moldova</w:t>
      </w:r>
      <w:r w:rsidRPr="00141186">
        <w:t xml:space="preserve"> (dec.), no. 45701/99, 7</w:t>
      </w:r>
      <w:r w:rsidR="00AB1F89" w:rsidRPr="00141186">
        <w:rPr>
          <w:lang w:val="en-US"/>
        </w:rPr>
        <w:t> </w:t>
      </w:r>
      <w:r w:rsidRPr="007F5A7A">
        <w:t>June</w:t>
      </w:r>
      <w:r w:rsidR="00AB1F89" w:rsidRPr="00141186">
        <w:rPr>
          <w:lang w:val="en-US"/>
        </w:rPr>
        <w:t> </w:t>
      </w:r>
      <w:r w:rsidRPr="007F5A7A">
        <w:t xml:space="preserve">2001; and </w:t>
      </w:r>
      <w:r w:rsidRPr="007F5A7A">
        <w:rPr>
          <w:i/>
        </w:rPr>
        <w:t>Edelmayer v. Austria</w:t>
      </w:r>
      <w:r w:rsidRPr="007F5A7A">
        <w:t xml:space="preserve"> (dec.), no. 33979/96, 21</w:t>
      </w:r>
      <w:r w:rsidR="00AB1F89" w:rsidRPr="00141186">
        <w:rPr>
          <w:lang w:val="en-US"/>
        </w:rPr>
        <w:t> </w:t>
      </w:r>
      <w:r w:rsidRPr="007F5A7A">
        <w:t>March</w:t>
      </w:r>
      <w:r w:rsidR="00AB1F89" w:rsidRPr="00141186">
        <w:rPr>
          <w:lang w:val="en-US"/>
        </w:rPr>
        <w:t> </w:t>
      </w:r>
      <w:r w:rsidRPr="007F5A7A">
        <w:t>2000).</w:t>
      </w:r>
    </w:p>
    <w:p w:rsidR="008C47E1" w:rsidRPr="00141186" w:rsidRDefault="008559B6" w:rsidP="00997B8C">
      <w:pPr>
        <w:pStyle w:val="JuPara"/>
      </w:pPr>
      <w:r>
        <w:fldChar w:fldCharType="begin"/>
      </w:r>
      <w:r>
        <w:instrText xml:space="preserve"> SEQ level0 \*arabic </w:instrText>
      </w:r>
      <w:r>
        <w:fldChar w:fldCharType="separate"/>
      </w:r>
      <w:r w:rsidR="00B41E90">
        <w:rPr>
          <w:noProof/>
        </w:rPr>
        <w:t>52</w:t>
      </w:r>
      <w:r>
        <w:fldChar w:fldCharType="end"/>
      </w:r>
      <w:r>
        <w:t>.  </w:t>
      </w:r>
      <w:r w:rsidR="008C47E1" w:rsidRPr="007F5A7A">
        <w:t>In the pre</w:t>
      </w:r>
      <w:r w:rsidR="008C47E1" w:rsidRPr="003C303C">
        <w:t>sent case, both the investigative authorities and the courts examined</w:t>
      </w:r>
      <w:r w:rsidR="007F5F3F" w:rsidRPr="003C303C">
        <w:t xml:space="preserve"> in substance</w:t>
      </w:r>
      <w:r w:rsidR="00F711C7" w:rsidRPr="003C303C">
        <w:t xml:space="preserve"> and rejected as unfounded </w:t>
      </w:r>
      <w:r w:rsidR="008C47E1" w:rsidRPr="00141186">
        <w:t>the applicant</w:t>
      </w:r>
      <w:r w:rsidR="00C5795F">
        <w:t>’</w:t>
      </w:r>
      <w:r w:rsidR="008C47E1" w:rsidRPr="00141186">
        <w:t xml:space="preserve">s allegations of ill-treatment during the </w:t>
      </w:r>
      <w:r w:rsidR="00A0034D">
        <w:t>operative drill</w:t>
      </w:r>
      <w:r w:rsidR="004D2D86" w:rsidRPr="007F5A7A">
        <w:t xml:space="preserve"> </w:t>
      </w:r>
      <w:r w:rsidR="004A4D10" w:rsidRPr="007F5A7A">
        <w:t xml:space="preserve">on </w:t>
      </w:r>
      <w:r w:rsidR="008C47E1" w:rsidRPr="007F5A7A">
        <w:t xml:space="preserve">27 April 2004 (see paragraphs </w:t>
      </w:r>
      <w:r w:rsidR="00C5003E">
        <w:rPr>
          <w:noProof/>
        </w:rPr>
        <w:t>20</w:t>
      </w:r>
      <w:r w:rsidR="008C47E1" w:rsidRPr="007F5A7A">
        <w:t xml:space="preserve">, </w:t>
      </w:r>
      <w:r w:rsidR="00C5003E">
        <w:rPr>
          <w:noProof/>
        </w:rPr>
        <w:t>28</w:t>
      </w:r>
      <w:r w:rsidR="008C47E1" w:rsidRPr="007F5A7A">
        <w:t xml:space="preserve">, </w:t>
      </w:r>
      <w:r w:rsidR="00C5003E">
        <w:rPr>
          <w:noProof/>
        </w:rPr>
        <w:t>30</w:t>
      </w:r>
      <w:r w:rsidR="008C47E1" w:rsidRPr="003C303C">
        <w:t xml:space="preserve"> and </w:t>
      </w:r>
      <w:r w:rsidR="00C5003E">
        <w:rPr>
          <w:noProof/>
        </w:rPr>
        <w:t>31</w:t>
      </w:r>
      <w:r w:rsidR="00954DAE" w:rsidRPr="007F5A7A">
        <w:t xml:space="preserve"> above</w:t>
      </w:r>
      <w:r w:rsidR="008C47E1" w:rsidRPr="007F5A7A">
        <w:t xml:space="preserve">). Moreover, </w:t>
      </w:r>
      <w:r w:rsidR="007F5F3F" w:rsidRPr="003C303C">
        <w:t>the applicant learned about the police involvement in the events of April 2004 from the decision of 16</w:t>
      </w:r>
      <w:r w:rsidR="003B0120" w:rsidRPr="00141186">
        <w:t> </w:t>
      </w:r>
      <w:r w:rsidR="007F5F3F" w:rsidRPr="00141186">
        <w:t xml:space="preserve">August 2004 (see paragraphs </w:t>
      </w:r>
      <w:r w:rsidR="00C5003E">
        <w:rPr>
          <w:noProof/>
        </w:rPr>
        <w:t>22</w:t>
      </w:r>
      <w:r w:rsidR="008C5EFA">
        <w:t>-</w:t>
      </w:r>
      <w:r w:rsidR="00C5003E">
        <w:rPr>
          <w:noProof/>
        </w:rPr>
        <w:t>23</w:t>
      </w:r>
      <w:r w:rsidR="007F5F3F" w:rsidRPr="003C303C">
        <w:t xml:space="preserve"> above) and at once </w:t>
      </w:r>
      <w:r w:rsidR="004A4D10" w:rsidRPr="003C303C">
        <w:t>sought the prosecution of</w:t>
      </w:r>
      <w:r w:rsidR="008C47E1" w:rsidRPr="003C303C">
        <w:t xml:space="preserve"> the police officers who </w:t>
      </w:r>
      <w:r w:rsidR="004A4D10" w:rsidRPr="003C303C">
        <w:t xml:space="preserve">he claimed had </w:t>
      </w:r>
      <w:r w:rsidR="008C47E1" w:rsidRPr="00141186">
        <w:t xml:space="preserve">ill-treated him (see paragraph </w:t>
      </w:r>
      <w:r w:rsidR="00C5003E">
        <w:rPr>
          <w:noProof/>
        </w:rPr>
        <w:t>24</w:t>
      </w:r>
      <w:r w:rsidR="00341101">
        <w:t xml:space="preserve"> </w:t>
      </w:r>
      <w:r w:rsidR="007F5F3F" w:rsidRPr="00141186">
        <w:t>above). This was made in the context of the on-going investigation into the events of April 2004. I</w:t>
      </w:r>
      <w:r w:rsidR="008C47E1" w:rsidRPr="00141186">
        <w:t>n view of th</w:t>
      </w:r>
      <w:r w:rsidR="008C5EFA">
        <w:t>is</w:t>
      </w:r>
      <w:r w:rsidR="008C47E1" w:rsidRPr="003C303C">
        <w:t xml:space="preserve">, </w:t>
      </w:r>
      <w:r w:rsidR="007F5F3F" w:rsidRPr="003C303C">
        <w:t xml:space="preserve">it cannot be said that the applicant has failed to exhaust domestic </w:t>
      </w:r>
      <w:r w:rsidR="007F5F3F" w:rsidRPr="00141186">
        <w:t>remedies in connection with his grievances. T</w:t>
      </w:r>
      <w:r w:rsidR="008C47E1" w:rsidRPr="00141186">
        <w:t>he Government</w:t>
      </w:r>
      <w:r w:rsidR="00C5795F">
        <w:t>’</w:t>
      </w:r>
      <w:r w:rsidR="008C47E1" w:rsidRPr="00141186">
        <w:t>s argument</w:t>
      </w:r>
      <w:r w:rsidR="00F711C7" w:rsidRPr="00141186">
        <w:t xml:space="preserve"> </w:t>
      </w:r>
      <w:r w:rsidR="008C47E1" w:rsidRPr="00141186">
        <w:t xml:space="preserve">should </w:t>
      </w:r>
      <w:r w:rsidR="007F5F3F" w:rsidRPr="00141186">
        <w:t xml:space="preserve">therefore </w:t>
      </w:r>
      <w:r w:rsidR="008C47E1" w:rsidRPr="00141186">
        <w:t>be dismissed.</w:t>
      </w:r>
    </w:p>
    <w:p w:rsidR="008C47E1" w:rsidRPr="003C303C" w:rsidRDefault="008C47E1" w:rsidP="00997B8C">
      <w:pPr>
        <w:pStyle w:val="JuPara"/>
      </w:pPr>
      <w:r w:rsidRPr="00141186">
        <w:fldChar w:fldCharType="begin"/>
      </w:r>
      <w:r w:rsidRPr="00141186">
        <w:instrText xml:space="preserve"> SEQ level0 \*arabic </w:instrText>
      </w:r>
      <w:r w:rsidRPr="00141186">
        <w:fldChar w:fldCharType="separate"/>
      </w:r>
      <w:r w:rsidR="00B41E90">
        <w:rPr>
          <w:noProof/>
        </w:rPr>
        <w:t>53</w:t>
      </w:r>
      <w:r w:rsidRPr="00141186">
        <w:fldChar w:fldCharType="end"/>
      </w:r>
      <w:r w:rsidRPr="00141186">
        <w:t>.  The Court also notes that th</w:t>
      </w:r>
      <w:r w:rsidR="008C5EFA">
        <w:t>e</w:t>
      </w:r>
      <w:r w:rsidRPr="003C303C">
        <w:t xml:space="preserve"> complaint</w:t>
      </w:r>
      <w:r w:rsidR="008C5EFA">
        <w:t>s</w:t>
      </w:r>
      <w:r w:rsidRPr="003C303C">
        <w:t xml:space="preserve"> </w:t>
      </w:r>
      <w:r w:rsidR="008C5EFA">
        <w:t xml:space="preserve">under Article 3 of the Convention are not </w:t>
      </w:r>
      <w:r w:rsidRPr="003C303C">
        <w:t xml:space="preserve">manifestly ill-founded within the meaning of Article 35 § 3 (a) of the Convention. It further notes that </w:t>
      </w:r>
      <w:r w:rsidR="008C5EFA">
        <w:t>they are</w:t>
      </w:r>
      <w:r w:rsidRPr="003C303C">
        <w:t xml:space="preserve"> not inadmissible on any other grounds. </w:t>
      </w:r>
      <w:r w:rsidR="008C5EFA">
        <w:t>They</w:t>
      </w:r>
      <w:r w:rsidR="008C5EFA" w:rsidRPr="003C303C">
        <w:t xml:space="preserve"> </w:t>
      </w:r>
      <w:r w:rsidRPr="003C303C">
        <w:t>must therefore be declared admissible.</w:t>
      </w:r>
    </w:p>
    <w:p w:rsidR="008C47E1" w:rsidRPr="003C303C" w:rsidRDefault="008C47E1" w:rsidP="008C47E1">
      <w:pPr>
        <w:pStyle w:val="JuH1"/>
      </w:pPr>
      <w:r w:rsidRPr="003C303C">
        <w:t>2.  Merits</w:t>
      </w:r>
    </w:p>
    <w:p w:rsidR="00141186" w:rsidRDefault="00B526B3" w:rsidP="008C47E1">
      <w:pPr>
        <w:pStyle w:val="JuHa0"/>
      </w:pPr>
      <w:r>
        <w:t>(a)  </w:t>
      </w:r>
      <w:r w:rsidR="004A4D10" w:rsidRPr="00141186">
        <w:t>T</w:t>
      </w:r>
      <w:r w:rsidR="008C47E1" w:rsidRPr="00141186">
        <w:t>he applicant</w:t>
      </w:r>
      <w:r w:rsidR="00C5795F">
        <w:t>’</w:t>
      </w:r>
      <w:r w:rsidR="008C47E1" w:rsidRPr="00141186">
        <w:t>s ill-treatment</w:t>
      </w:r>
    </w:p>
    <w:p w:rsidR="008C47E1" w:rsidRPr="00141186" w:rsidRDefault="008C47E1" w:rsidP="00F711C7">
      <w:pPr>
        <w:pStyle w:val="JuHi"/>
      </w:pPr>
      <w:r w:rsidRPr="00141186">
        <w:t>(i)</w:t>
      </w:r>
      <w:r w:rsidR="00B526B3">
        <w:t>  </w:t>
      </w:r>
      <w:r w:rsidRPr="00141186">
        <w:t>General principles</w:t>
      </w:r>
    </w:p>
    <w:p w:rsidR="00C5003E"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54</w:t>
      </w:r>
      <w:r w:rsidRPr="007F5A7A">
        <w:fldChar w:fldCharType="end"/>
      </w:r>
      <w:r w:rsidRPr="008970F4">
        <w:t>.  The Court has stated on many occasions tha</w:t>
      </w:r>
      <w:r w:rsidRPr="00AB1F89">
        <w:t xml:space="preserve">t Article 3 </w:t>
      </w:r>
      <w:r w:rsidRPr="007104F2">
        <w:t>enshrines one of the most fundamental</w:t>
      </w:r>
      <w:r w:rsidRPr="007F5A7A">
        <w:t xml:space="preserve"> values of democratic societies. Even in the most difficult circumstances, such as the fight against terrorism and organised crime, the Convention prohibits, in absolute terms, torture and inhuman and degrading treatment or punishment, irrespective of the victim</w:t>
      </w:r>
      <w:r w:rsidR="00C5795F">
        <w:t>’</w:t>
      </w:r>
      <w:r w:rsidRPr="007F5A7A">
        <w:t xml:space="preserve">s conduct (see, among many other authorities, </w:t>
      </w:r>
      <w:r w:rsidRPr="007F5A7A">
        <w:rPr>
          <w:i/>
        </w:rPr>
        <w:t>Labita v. Italy</w:t>
      </w:r>
      <w:r w:rsidRPr="007F5A7A">
        <w:t xml:space="preserve"> [GC], no. 26772/95, §</w:t>
      </w:r>
      <w:r w:rsidR="003B0120" w:rsidRPr="007F5A7A">
        <w:t> </w:t>
      </w:r>
      <w:r w:rsidRPr="003C303C">
        <w:t>119, ECHR 2000-IV</w:t>
      </w:r>
      <w:r w:rsidR="003B0120" w:rsidRPr="003C303C">
        <w:t>;</w:t>
      </w:r>
      <w:r w:rsidRPr="00141186">
        <w:t xml:space="preserve"> and </w:t>
      </w:r>
      <w:r w:rsidRPr="00141186">
        <w:rPr>
          <w:i/>
        </w:rPr>
        <w:t>Selmouni v. France</w:t>
      </w:r>
      <w:r w:rsidRPr="00141186">
        <w:t xml:space="preserve"> [GC], no. 25803/94, § 95, ECHR 1999-V).</w:t>
      </w:r>
      <w:r w:rsidR="00C5003E">
        <w:t xml:space="preserve"> </w:t>
      </w:r>
      <w:r w:rsidR="00C5003E" w:rsidRPr="00141186">
        <w:t xml:space="preserve">No derogation is allowed even in the event of a public emergency threatening the life of the nation. Article 3, which has been framed in unambiguous terms, recognises that every human being has an absolute, inalienable right not to be subjected to torture or to inhuman or degrading treatment under any circumstances. The philosophical basis underpinning the absolute nature of the right under Article 3 does not allow for any exceptions or justifying factors or balancing of interests, irrespective of the conduct of the person concerned and the nature of the offence at issue (see, for example, </w:t>
      </w:r>
      <w:r w:rsidR="00C5003E" w:rsidRPr="00141186">
        <w:rPr>
          <w:i/>
          <w:lang w:eastAsia="en-US"/>
        </w:rPr>
        <w:t>Gäfgen v. Germany</w:t>
      </w:r>
      <w:r w:rsidR="00C5003E" w:rsidRPr="00141186">
        <w:rPr>
          <w:lang w:eastAsia="en-US"/>
        </w:rPr>
        <w:t xml:space="preserve"> [GC], no. 22978/05, § 107, ECHR 2010</w:t>
      </w:r>
      <w:r w:rsidR="00C5003E" w:rsidRPr="00141186">
        <w:t>).</w:t>
      </w:r>
    </w:p>
    <w:p w:rsidR="003335A5"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55</w:t>
      </w:r>
      <w:r w:rsidRPr="007F5A7A">
        <w:fldChar w:fldCharType="end"/>
      </w:r>
      <w:r w:rsidRPr="008970F4">
        <w:t>.  T</w:t>
      </w:r>
      <w:r w:rsidRPr="00AB1F89">
        <w:t>he Court reiterates that allegations of ill-treatment must be supported by appropriate evidence. To assess this evidence, the Court adopts the standard of proof “ beyond reasonable doubt ” but adds that such proof may follow from the coexistence of suffici</w:t>
      </w:r>
      <w:r w:rsidRPr="007104F2">
        <w:t>ently strong, clear and concordant inferences or of similar unrebutted presumptions of fact (see</w:t>
      </w:r>
      <w:r w:rsidR="00AC3BFA" w:rsidRPr="007F5A7A">
        <w:t xml:space="preserve"> </w:t>
      </w:r>
      <w:bookmarkStart w:id="33" w:name="_1000013"/>
      <w:bookmarkEnd w:id="33"/>
      <w:r w:rsidRPr="007F5A7A">
        <w:rPr>
          <w:i/>
        </w:rPr>
        <w:t>Ireland v. the United Kingdom</w:t>
      </w:r>
      <w:r w:rsidRPr="007F5A7A">
        <w:t>, 18 January 1978, § 161</w:t>
      </w:r>
      <w:r w:rsidRPr="003C303C">
        <w:t xml:space="preserve"> in fine, Series A no.</w:t>
      </w:r>
      <w:r w:rsidR="00AB1F89" w:rsidRPr="00141186">
        <w:rPr>
          <w:lang w:val="en-US"/>
        </w:rPr>
        <w:t> </w:t>
      </w:r>
      <w:r w:rsidRPr="007F5A7A">
        <w:t>25).</w:t>
      </w:r>
      <w:r w:rsidR="003335A5">
        <w:t xml:space="preserve"> Where the events in issue lie wholly, or in large part, within the exclusive knowledge of the authorities, as in the case of persons within their control in custody, strong presumptions of fact will arise in respect of injuries occurring during such detention. Where an individual is taken into custody in good health but is found to be injured at the time of release, the burden of proof may be regarded as resting on the authorities to provide a plausible and convincing explanation of how those injuries were caused (see </w:t>
      </w:r>
      <w:r w:rsidR="003335A5" w:rsidRPr="0049361C">
        <w:rPr>
          <w:i/>
          <w:iCs/>
        </w:rPr>
        <w:t>Salman v. Turkey</w:t>
      </w:r>
      <w:r w:rsidR="003335A5" w:rsidRPr="0049361C">
        <w:t xml:space="preserve"> [GC], no. 21986/93, § 10</w:t>
      </w:r>
      <w:r w:rsidR="003335A5">
        <w:t>0</w:t>
      </w:r>
      <w:r w:rsidR="003335A5" w:rsidRPr="0049361C">
        <w:t>, ECHR 2000-VII</w:t>
      </w:r>
      <w:r w:rsidR="003335A5">
        <w:t xml:space="preserve">, and </w:t>
      </w:r>
      <w:r w:rsidR="00981AE2" w:rsidRPr="007F5A7A">
        <w:rPr>
          <w:i/>
          <w:lang w:eastAsia="en-US"/>
        </w:rPr>
        <w:t>Ribitsch v. Austria</w:t>
      </w:r>
      <w:r w:rsidR="00981AE2" w:rsidRPr="007F5A7A">
        <w:rPr>
          <w:lang w:eastAsia="en-US"/>
        </w:rPr>
        <w:t>, 4 December 1995, § 3</w:t>
      </w:r>
      <w:r w:rsidR="00981AE2">
        <w:rPr>
          <w:lang w:eastAsia="en-US"/>
        </w:rPr>
        <w:t>4</w:t>
      </w:r>
      <w:r w:rsidR="00981AE2" w:rsidRPr="007F5A7A">
        <w:rPr>
          <w:lang w:eastAsia="en-US"/>
        </w:rPr>
        <w:t>, Series A no. 336)</w:t>
      </w:r>
      <w:r w:rsidR="003335A5">
        <w:t>.</w:t>
      </w:r>
    </w:p>
    <w:p w:rsidR="008C47E1"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56</w:t>
      </w:r>
      <w:r w:rsidRPr="007F5A7A">
        <w:fldChar w:fldCharType="end"/>
      </w:r>
      <w:r w:rsidRPr="008970F4">
        <w:t xml:space="preserve">.  The Court further reiterates its </w:t>
      </w:r>
      <w:r w:rsidR="004A4D10" w:rsidRPr="00AB1F89">
        <w:t xml:space="preserve">settled </w:t>
      </w:r>
      <w:r w:rsidRPr="007104F2">
        <w:t>approach that Arti</w:t>
      </w:r>
      <w:r w:rsidRPr="007F5A7A">
        <w:t xml:space="preserve">cle 3 imposes on the State a duty to protect the physical well-being of persons who find themselves in a vulnerable position by virtue of being within the control of the authorities, such as, for instance, detainees or conscripted servicemen (see </w:t>
      </w:r>
      <w:r w:rsidRPr="007F5A7A">
        <w:rPr>
          <w:i/>
        </w:rPr>
        <w:t>Chember v. Russia</w:t>
      </w:r>
      <w:r w:rsidRPr="007F5A7A">
        <w:t xml:space="preserve">, no. 7188/03, § 50, 3 July 2008; </w:t>
      </w:r>
      <w:r w:rsidRPr="003C303C">
        <w:rPr>
          <w:i/>
        </w:rPr>
        <w:t>Sarban v. Moldova</w:t>
      </w:r>
      <w:r w:rsidRPr="003C303C">
        <w:t xml:space="preserve">, no. 3456/05, § 77, 4 October 2005; </w:t>
      </w:r>
      <w:r w:rsidRPr="003C303C">
        <w:rPr>
          <w:i/>
        </w:rPr>
        <w:t>Jalloh v. Germany</w:t>
      </w:r>
      <w:r w:rsidRPr="00141186">
        <w:t xml:space="preserve"> [GC], no. 54810/00, § 69, ECHR 2006</w:t>
      </w:r>
      <w:r w:rsidRPr="00141186">
        <w:rPr>
          <w:rFonts w:ascii="MS Mincho" w:eastAsia="MS Mincho" w:hAnsi="MS Mincho" w:cs="MS Mincho" w:hint="eastAsia"/>
        </w:rPr>
        <w:t>‑</w:t>
      </w:r>
      <w:r w:rsidRPr="00141186">
        <w:t>IX</w:t>
      </w:r>
      <w:r w:rsidR="004A4D10" w:rsidRPr="00141186">
        <w:t xml:space="preserve">; </w:t>
      </w:r>
      <w:r w:rsidRPr="00141186">
        <w:t xml:space="preserve">and </w:t>
      </w:r>
      <w:r w:rsidRPr="00141186">
        <w:rPr>
          <w:i/>
        </w:rPr>
        <w:t>Mouisel v. France</w:t>
      </w:r>
      <w:r w:rsidRPr="00141186">
        <w:t xml:space="preserve">, no. 67263/01, § 40, ECHR 2002-IX). However, given the absolute nature of the protection of Article 3, whose requirements permit of no derogation, this duty to protect cannot be said to be confined to the specific context of the military or penitentiary facilities. It also becomes relevant in other situations in which the physical well-being of individuals is dependent, to a decisive extent, on the actions </w:t>
      </w:r>
      <w:r w:rsidR="004A4D10" w:rsidRPr="00141186">
        <w:t xml:space="preserve">of </w:t>
      </w:r>
      <w:r w:rsidRPr="00141186">
        <w:t xml:space="preserve">the authorities, who are legally required to take measures within the scope of their powers which might have been necessary to avoid the risk of damage to life or limb (see, </w:t>
      </w:r>
      <w:r w:rsidRPr="00141186">
        <w:rPr>
          <w:i/>
        </w:rPr>
        <w:t>mutatis mutandis</w:t>
      </w:r>
      <w:r w:rsidRPr="00141186">
        <w:t xml:space="preserve">, </w:t>
      </w:r>
      <w:r w:rsidRPr="00141186">
        <w:rPr>
          <w:i/>
        </w:rPr>
        <w:t>Paul and Audrey Edwards v. the United Kingdom</w:t>
      </w:r>
      <w:r w:rsidRPr="00141186">
        <w:t>, no. 46477/99, § 55, ECHR</w:t>
      </w:r>
      <w:r w:rsidR="00AB1F89" w:rsidRPr="00141186">
        <w:rPr>
          <w:lang w:val="en-US"/>
        </w:rPr>
        <w:t> </w:t>
      </w:r>
      <w:r w:rsidRPr="007F5A7A">
        <w:t>2002</w:t>
      </w:r>
      <w:r w:rsidRPr="007F5A7A">
        <w:rPr>
          <w:rFonts w:ascii="MS Mincho" w:eastAsia="MS Mincho" w:hAnsi="MS Mincho" w:cs="MS Mincho" w:hint="eastAsia"/>
        </w:rPr>
        <w:t>‑</w:t>
      </w:r>
      <w:r w:rsidRPr="007F5A7A">
        <w:t>II).</w:t>
      </w:r>
    </w:p>
    <w:bookmarkStart w:id="34" w:name="fiftyseven"/>
    <w:p w:rsidR="00141186"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57</w:t>
      </w:r>
      <w:r w:rsidRPr="007F5A7A">
        <w:fldChar w:fldCharType="end"/>
      </w:r>
      <w:bookmarkEnd w:id="34"/>
      <w:r w:rsidRPr="008970F4">
        <w:t>.  As for the assessment of the minimum level of severity required for a violation of Article 3 of the Convention, the Court notes that it is relative: it depends on all the circ</w:t>
      </w:r>
      <w:r w:rsidRPr="00AB1F89">
        <w:t>umstances of the case, such as the duration of the treatment, its physical and/or mental effects and, in some cases, the sex, age and state of health of the victim (see</w:t>
      </w:r>
      <w:r w:rsidR="00AC3BFA" w:rsidRPr="007F5A7A">
        <w:t xml:space="preserve"> </w:t>
      </w:r>
      <w:r w:rsidRPr="007F5A7A">
        <w:rPr>
          <w:i/>
        </w:rPr>
        <w:t>Tekin v. Turkey</w:t>
      </w:r>
      <w:r w:rsidRPr="007F5A7A">
        <w:t xml:space="preserve">, 9 June 1998, § 52, </w:t>
      </w:r>
      <w:r w:rsidRPr="003C303C">
        <w:rPr>
          <w:i/>
        </w:rPr>
        <w:t>Reports</w:t>
      </w:r>
      <w:r w:rsidR="00575F01" w:rsidRPr="003C303C">
        <w:rPr>
          <w:i/>
        </w:rPr>
        <w:t xml:space="preserve"> of Judgments and Decisions</w:t>
      </w:r>
      <w:r w:rsidRPr="003C303C">
        <w:t xml:space="preserve"> 1998</w:t>
      </w:r>
      <w:r w:rsidRPr="003C303C">
        <w:rPr>
          <w:rFonts w:ascii="MS Mincho" w:eastAsia="MS Mincho" w:hAnsi="MS Mincho" w:cs="MS Mincho" w:hint="eastAsia"/>
        </w:rPr>
        <w:t>‑</w:t>
      </w:r>
      <w:r w:rsidRPr="00141186">
        <w:t>IV).</w:t>
      </w:r>
    </w:p>
    <w:bookmarkStart w:id="35" w:name="fiftyeight"/>
    <w:p w:rsidR="00141186"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58</w:t>
      </w:r>
      <w:r w:rsidRPr="007F5A7A">
        <w:fldChar w:fldCharType="end"/>
      </w:r>
      <w:bookmarkEnd w:id="35"/>
      <w:r w:rsidRPr="008970F4">
        <w:t>.  According to the Court</w:t>
      </w:r>
      <w:r w:rsidR="00C5795F">
        <w:t>’</w:t>
      </w:r>
      <w:r w:rsidRPr="008970F4">
        <w:t xml:space="preserve">s </w:t>
      </w:r>
      <w:r w:rsidR="00423BC2" w:rsidRPr="00AB1F89">
        <w:t xml:space="preserve">settled </w:t>
      </w:r>
      <w:r w:rsidRPr="007104F2">
        <w:t xml:space="preserve">approach, treatment is considered “inhuman” if it is premeditated, applied for hours at a stretch and causes either actual bodily injury or intense physical or mental suffering (see, </w:t>
      </w:r>
      <w:r w:rsidRPr="007F5A7A">
        <w:t xml:space="preserve">as a classic authority, </w:t>
      </w:r>
      <w:r w:rsidRPr="007F5A7A">
        <w:rPr>
          <w:i/>
        </w:rPr>
        <w:t>Denmark, Norway, Sweden and the Netherlands v. Greece</w:t>
      </w:r>
      <w:r w:rsidRPr="007F5A7A">
        <w:t xml:space="preserve"> (the “Greek case”), applications nos. 3321/67, 3322/67, 3323/67 and 3344/67, Commission</w:t>
      </w:r>
      <w:r w:rsidR="00C5795F">
        <w:t>’</w:t>
      </w:r>
      <w:r w:rsidRPr="007F5A7A">
        <w:t>s report of 5 November 1969, Yearbook XII). The question whether the purpose of the treatm</w:t>
      </w:r>
      <w:r w:rsidRPr="003C303C">
        <w:t xml:space="preserve">ent was to make the victim suffer is a further factor to be taken into account, but the absence of any such purpose cannot conclusively rule out a violation of Article 3 (see </w:t>
      </w:r>
      <w:r w:rsidRPr="003C303C">
        <w:rPr>
          <w:i/>
        </w:rPr>
        <w:t>the Greek case</w:t>
      </w:r>
      <w:r w:rsidRPr="003C303C">
        <w:t xml:space="preserve">, cited above, and also </w:t>
      </w:r>
      <w:r w:rsidRPr="00141186">
        <w:rPr>
          <w:i/>
        </w:rPr>
        <w:t>Peers v. Greece</w:t>
      </w:r>
      <w:r w:rsidRPr="00141186">
        <w:t>, no. 28524/95, § 74, ECHR</w:t>
      </w:r>
      <w:r w:rsidR="00AB1F89" w:rsidRPr="00141186">
        <w:rPr>
          <w:lang w:val="en-US"/>
        </w:rPr>
        <w:t> </w:t>
      </w:r>
      <w:r w:rsidRPr="007F5A7A">
        <w:t>2001-III).</w:t>
      </w:r>
      <w:bookmarkStart w:id="36" w:name="fiftynine"/>
    </w:p>
    <w:bookmarkEnd w:id="36"/>
    <w:p w:rsidR="008C47E1" w:rsidRPr="007F5A7A" w:rsidRDefault="008C47E1" w:rsidP="008C47E1">
      <w:pPr>
        <w:pStyle w:val="JuHi"/>
      </w:pPr>
      <w:r w:rsidRPr="007F5A7A">
        <w:t>(ii)</w:t>
      </w:r>
      <w:r w:rsidR="00B526B3">
        <w:t>  </w:t>
      </w:r>
      <w:r w:rsidRPr="007F5A7A">
        <w:t>Application of the principles to the present case</w:t>
      </w:r>
    </w:p>
    <w:p w:rsidR="00122C5F" w:rsidRDefault="00C5003E" w:rsidP="00997B8C">
      <w:pPr>
        <w:pStyle w:val="JuPara"/>
      </w:pPr>
      <w:r>
        <w:fldChar w:fldCharType="begin"/>
      </w:r>
      <w:r>
        <w:instrText xml:space="preserve"> SEQ level0 \*arabic </w:instrText>
      </w:r>
      <w:r>
        <w:fldChar w:fldCharType="separate"/>
      </w:r>
      <w:r w:rsidR="00B41E90">
        <w:rPr>
          <w:noProof/>
        </w:rPr>
        <w:t>59</w:t>
      </w:r>
      <w:r>
        <w:fldChar w:fldCharType="end"/>
      </w:r>
      <w:r>
        <w:t>.  </w:t>
      </w:r>
      <w:r w:rsidR="006F5CC0" w:rsidRPr="006F5CC0">
        <w:t>The Court notes that during his medical examination on 27 and 30 April 2004 the applicant was diagnosed with “a contusion of the right kidney, a brain contusion, bruising of the soft tissue of the face and limbs</w:t>
      </w:r>
      <w:r>
        <w:t xml:space="preserve">”, </w:t>
      </w:r>
      <w:r w:rsidR="006F5CC0" w:rsidRPr="006F5CC0">
        <w:t>including bruises on the right hand, the rib cage, the right thigh, the left leg and knee, the right shoulder, the right side of the temple and a burst vessel in the left eye,</w:t>
      </w:r>
      <w:r>
        <w:t xml:space="preserve"> as well as</w:t>
      </w:r>
      <w:r w:rsidR="006F5CC0" w:rsidRPr="006F5CC0">
        <w:t xml:space="preserve"> </w:t>
      </w:r>
      <w:r>
        <w:t>“</w:t>
      </w:r>
      <w:r w:rsidR="006F5CC0" w:rsidRPr="006F5CC0">
        <w:t xml:space="preserve">blood in the urine, a subarachnoid haemorrhage and a fracture of the right ninth rib” (see paragraphs </w:t>
      </w:r>
      <w:r>
        <w:rPr>
          <w:noProof/>
        </w:rPr>
        <w:t>15</w:t>
      </w:r>
      <w:r w:rsidR="006F5CC0" w:rsidRPr="006F5CC0">
        <w:t xml:space="preserve"> and </w:t>
      </w:r>
      <w:r>
        <w:rPr>
          <w:noProof/>
        </w:rPr>
        <w:t>16</w:t>
      </w:r>
      <w:r w:rsidR="006F5CC0" w:rsidRPr="006F5CC0">
        <w:t xml:space="preserve"> above).</w:t>
      </w:r>
      <w:r w:rsidR="006F5CC0">
        <w:t xml:space="preserve"> </w:t>
      </w:r>
      <w:r w:rsidR="002A0EE4">
        <w:t>T</w:t>
      </w:r>
      <w:r w:rsidR="006F5CC0">
        <w:t xml:space="preserve">he Court finds the </w:t>
      </w:r>
      <w:r w:rsidR="006F5CC0" w:rsidRPr="006F5CC0">
        <w:t>applicant</w:t>
      </w:r>
      <w:r w:rsidR="00C5795F">
        <w:t>’</w:t>
      </w:r>
      <w:r w:rsidR="006F5CC0" w:rsidRPr="006F5CC0">
        <w:t xml:space="preserve">s injuries </w:t>
      </w:r>
      <w:r w:rsidR="008C47E1" w:rsidRPr="006F5CC0">
        <w:t>were sufficiently serious to reach the “minimum level of severity” under Article 3 of the Convention.</w:t>
      </w:r>
    </w:p>
    <w:p w:rsidR="008C47E1" w:rsidRDefault="008C47E1" w:rsidP="00997B8C">
      <w:pPr>
        <w:pStyle w:val="JuPara"/>
      </w:pPr>
      <w:r w:rsidRPr="006F5CC0">
        <w:fldChar w:fldCharType="begin"/>
      </w:r>
      <w:r w:rsidRPr="006F5CC0">
        <w:instrText xml:space="preserve"> SEQ level0 \*arabic </w:instrText>
      </w:r>
      <w:r w:rsidRPr="006F5CC0">
        <w:fldChar w:fldCharType="separate"/>
      </w:r>
      <w:r w:rsidR="00B41E90">
        <w:rPr>
          <w:noProof/>
        </w:rPr>
        <w:t>60</w:t>
      </w:r>
      <w:r w:rsidRPr="006F5CC0">
        <w:fldChar w:fldCharType="end"/>
      </w:r>
      <w:r w:rsidRPr="006F5CC0">
        <w:t>.  </w:t>
      </w:r>
      <w:r w:rsidR="006F5CC0" w:rsidRPr="006F5CC0">
        <w:t xml:space="preserve">The Court next notes that </w:t>
      </w:r>
      <w:r w:rsidRPr="006F5CC0">
        <w:t xml:space="preserve">the parties </w:t>
      </w:r>
      <w:r w:rsidR="006F5CC0" w:rsidRPr="006F5CC0">
        <w:t xml:space="preserve">agreed </w:t>
      </w:r>
      <w:r w:rsidRPr="006F5CC0">
        <w:t xml:space="preserve">that on 27 April 2004 the applicant was involved in an </w:t>
      </w:r>
      <w:r w:rsidR="00A0034D" w:rsidRPr="006F5CC0">
        <w:t>operative drill</w:t>
      </w:r>
      <w:r w:rsidR="004D2D86" w:rsidRPr="006F5CC0">
        <w:t xml:space="preserve"> </w:t>
      </w:r>
      <w:r w:rsidR="00114A37" w:rsidRPr="006F5CC0">
        <w:t xml:space="preserve">conducted by police agents in disguise </w:t>
      </w:r>
      <w:r w:rsidR="00423BC2" w:rsidRPr="006F5CC0">
        <w:t xml:space="preserve">and </w:t>
      </w:r>
      <w:r w:rsidRPr="006F5CC0">
        <w:t xml:space="preserve">therefore </w:t>
      </w:r>
      <w:r w:rsidR="00423BC2" w:rsidRPr="006F5CC0">
        <w:t xml:space="preserve">that </w:t>
      </w:r>
      <w:r w:rsidRPr="006F5CC0">
        <w:t xml:space="preserve">he was in State custody (see paragraphs </w:t>
      </w:r>
      <w:r w:rsidR="00C5003E">
        <w:rPr>
          <w:noProof/>
        </w:rPr>
        <w:t>10</w:t>
      </w:r>
      <w:r w:rsidRPr="006F5CC0">
        <w:t>-</w:t>
      </w:r>
      <w:r w:rsidR="00C5003E">
        <w:rPr>
          <w:noProof/>
        </w:rPr>
        <w:t>14</w:t>
      </w:r>
      <w:r w:rsidR="007D08F2" w:rsidRPr="006F5CC0">
        <w:t xml:space="preserve"> and</w:t>
      </w:r>
      <w:r w:rsidRPr="006F5CC0">
        <w:t xml:space="preserve"> </w:t>
      </w:r>
      <w:r w:rsidR="00C5003E">
        <w:rPr>
          <w:noProof/>
        </w:rPr>
        <w:t>20</w:t>
      </w:r>
      <w:r w:rsidRPr="006F5CC0">
        <w:t xml:space="preserve"> </w:t>
      </w:r>
      <w:r w:rsidR="00114A37" w:rsidRPr="006F5CC0">
        <w:t>above</w:t>
      </w:r>
      <w:r w:rsidRPr="006F5CC0">
        <w:t>).</w:t>
      </w:r>
      <w:r w:rsidR="006F5CC0" w:rsidRPr="006F5CC0">
        <w:t xml:space="preserve"> N</w:t>
      </w:r>
      <w:r w:rsidRPr="006F5CC0">
        <w:t xml:space="preserve">othing in the police report of 27 April 2004 shows that the applicant had these injuries before the </w:t>
      </w:r>
      <w:r w:rsidR="004D2D86" w:rsidRPr="006F5CC0">
        <w:t>start</w:t>
      </w:r>
      <w:r w:rsidRPr="006F5CC0">
        <w:t xml:space="preserve"> of the </w:t>
      </w:r>
      <w:r w:rsidR="004D2D86" w:rsidRPr="006F5CC0">
        <w:t>drill</w:t>
      </w:r>
      <w:r w:rsidR="006F5CC0" w:rsidRPr="006F5CC0">
        <w:t>. T</w:t>
      </w:r>
      <w:r w:rsidRPr="006F5CC0">
        <w:t xml:space="preserve">he police officers </w:t>
      </w:r>
      <w:r w:rsidR="00114A37" w:rsidRPr="006F5CC0">
        <w:t xml:space="preserve">themselves </w:t>
      </w:r>
      <w:r w:rsidRPr="006F5CC0">
        <w:t xml:space="preserve">noted that </w:t>
      </w:r>
      <w:r w:rsidR="00114A37" w:rsidRPr="006F5CC0">
        <w:t>t</w:t>
      </w:r>
      <w:r w:rsidRPr="006F5CC0">
        <w:t xml:space="preserve">he </w:t>
      </w:r>
      <w:r w:rsidR="00114A37" w:rsidRPr="006F5CC0">
        <w:t xml:space="preserve">applicant </w:t>
      </w:r>
      <w:r w:rsidR="00423BC2" w:rsidRPr="006F5CC0">
        <w:t>was uninjured</w:t>
      </w:r>
      <w:r w:rsidRPr="006F5CC0">
        <w:t xml:space="preserve"> and looked healthy (see paragraph </w:t>
      </w:r>
      <w:r w:rsidR="00C5003E">
        <w:rPr>
          <w:noProof/>
        </w:rPr>
        <w:t>28</w:t>
      </w:r>
      <w:r w:rsidR="00114A37" w:rsidRPr="006F5CC0">
        <w:t xml:space="preserve"> above</w:t>
      </w:r>
      <w:r w:rsidR="006F5CC0" w:rsidRPr="006F5CC0">
        <w:t>) and t</w:t>
      </w:r>
      <w:r w:rsidR="00114A37" w:rsidRPr="006F5CC0">
        <w:t>his is also confirmed by the applicant</w:t>
      </w:r>
      <w:r w:rsidR="00C5795F">
        <w:t>’</w:t>
      </w:r>
      <w:r w:rsidR="00114A37" w:rsidRPr="006F5CC0">
        <w:t>s partner L. in her statement of 7 June 2005 (see paragraph</w:t>
      </w:r>
      <w:r w:rsidR="00EA6B21" w:rsidRPr="006F5CC0">
        <w:t xml:space="preserve"> </w:t>
      </w:r>
      <w:r w:rsidR="00C5003E">
        <w:rPr>
          <w:noProof/>
        </w:rPr>
        <w:t>19</w:t>
      </w:r>
      <w:r w:rsidR="00EA6B21" w:rsidRPr="006F5CC0">
        <w:t xml:space="preserve"> </w:t>
      </w:r>
      <w:r w:rsidR="00114A37" w:rsidRPr="006F5CC0">
        <w:t>above). There is furthermore no indication in the case file that the applicant could have received these injuries between his release and</w:t>
      </w:r>
      <w:r w:rsidR="002363A2" w:rsidRPr="006F5CC0">
        <w:t xml:space="preserve"> the first</w:t>
      </w:r>
      <w:r w:rsidR="00114A37" w:rsidRPr="006F5CC0">
        <w:t xml:space="preserve"> visit to the doctor on 27 April 2004.</w:t>
      </w:r>
      <w:r w:rsidR="006F5CC0">
        <w:t xml:space="preserve"> </w:t>
      </w:r>
      <w:r w:rsidR="002A0EE4">
        <w:t>T</w:t>
      </w:r>
      <w:r w:rsidRPr="006F5CC0">
        <w:t xml:space="preserve">he Court concludes </w:t>
      </w:r>
      <w:r w:rsidR="002A0EE4">
        <w:t xml:space="preserve">therefore </w:t>
      </w:r>
      <w:r w:rsidRPr="006F5CC0">
        <w:t xml:space="preserve">that the applicant was in good health before the </w:t>
      </w:r>
      <w:r w:rsidR="004D2D86" w:rsidRPr="006F5CC0">
        <w:t>drill</w:t>
      </w:r>
      <w:r w:rsidRPr="006F5CC0">
        <w:t>.</w:t>
      </w:r>
    </w:p>
    <w:p w:rsidR="002A0EE4" w:rsidRDefault="000B2646" w:rsidP="00997B8C">
      <w:pPr>
        <w:pStyle w:val="JuPara"/>
      </w:pPr>
      <w:r w:rsidRPr="000B2646">
        <w:fldChar w:fldCharType="begin"/>
      </w:r>
      <w:r w:rsidRPr="000B2646">
        <w:instrText xml:space="preserve"> SEQ level0 \*arabic </w:instrText>
      </w:r>
      <w:r w:rsidRPr="000B2646">
        <w:fldChar w:fldCharType="separate"/>
      </w:r>
      <w:r w:rsidR="00B41E90">
        <w:rPr>
          <w:noProof/>
        </w:rPr>
        <w:t>61</w:t>
      </w:r>
      <w:r w:rsidRPr="000B2646">
        <w:fldChar w:fldCharType="end"/>
      </w:r>
      <w:r w:rsidRPr="000B2646">
        <w:t>.  </w:t>
      </w:r>
      <w:r w:rsidR="00532628" w:rsidRPr="000B2646">
        <w:t>T</w:t>
      </w:r>
      <w:r w:rsidR="008C47E1" w:rsidRPr="000B2646">
        <w:t xml:space="preserve">he Court </w:t>
      </w:r>
      <w:r w:rsidR="00532628" w:rsidRPr="000B2646">
        <w:t xml:space="preserve">finds </w:t>
      </w:r>
      <w:r w:rsidR="008C47E1" w:rsidRPr="000B2646">
        <w:t xml:space="preserve">that the applicant presented a detailed description of the ill-treatment by the policemen which </w:t>
      </w:r>
      <w:r w:rsidR="00423BC2" w:rsidRPr="000B2646">
        <w:t xml:space="preserve">corresponds </w:t>
      </w:r>
      <w:r w:rsidR="008C47E1" w:rsidRPr="000B2646">
        <w:t xml:space="preserve">to the nature and location of the recorded injuries and the witness statements (see paragraphs </w:t>
      </w:r>
      <w:r w:rsidR="00C5003E">
        <w:rPr>
          <w:noProof/>
        </w:rPr>
        <w:t>15</w:t>
      </w:r>
      <w:r w:rsidR="008C47E1" w:rsidRPr="000B2646">
        <w:t xml:space="preserve">, </w:t>
      </w:r>
      <w:r w:rsidR="00C5003E">
        <w:rPr>
          <w:noProof/>
        </w:rPr>
        <w:t>16</w:t>
      </w:r>
      <w:r w:rsidR="008C47E1" w:rsidRPr="000B2646">
        <w:t xml:space="preserve"> and</w:t>
      </w:r>
      <w:r w:rsidR="00C47EF6" w:rsidRPr="000B2646">
        <w:t xml:space="preserve"> </w:t>
      </w:r>
      <w:r w:rsidR="00C5003E">
        <w:rPr>
          <w:noProof/>
        </w:rPr>
        <w:t>19</w:t>
      </w:r>
      <w:r w:rsidR="00954DAE" w:rsidRPr="000B2646">
        <w:t xml:space="preserve"> above</w:t>
      </w:r>
      <w:r w:rsidR="008C47E1" w:rsidRPr="000B2646">
        <w:t>)</w:t>
      </w:r>
      <w:r w:rsidR="002A0EE4">
        <w:t xml:space="preserve">. </w:t>
      </w:r>
      <w:r w:rsidR="002A0EE4" w:rsidRPr="000B2646">
        <w:t xml:space="preserve">In these circumstances, the Court cannot but conclude that the applicant sustained the bodily injuries while at the hands of the police (see, </w:t>
      </w:r>
      <w:r w:rsidR="002A0EE4" w:rsidRPr="000B2646">
        <w:rPr>
          <w:i/>
        </w:rPr>
        <w:t>mutatis mutandis</w:t>
      </w:r>
      <w:r w:rsidR="002A0EE4" w:rsidRPr="000B2646">
        <w:t xml:space="preserve">, </w:t>
      </w:r>
      <w:r w:rsidR="002A0EE4" w:rsidRPr="000B2646">
        <w:rPr>
          <w:i/>
          <w:lang w:eastAsia="en-US"/>
        </w:rPr>
        <w:t xml:space="preserve">Makhashevy </w:t>
      </w:r>
      <w:r w:rsidR="002A0EE4" w:rsidRPr="000B2646">
        <w:rPr>
          <w:i/>
          <w:szCs w:val="22"/>
          <w:lang w:eastAsia="en-US"/>
        </w:rPr>
        <w:t>v. Russia</w:t>
      </w:r>
      <w:r w:rsidR="002A0EE4" w:rsidRPr="000B2646">
        <w:rPr>
          <w:szCs w:val="22"/>
          <w:lang w:eastAsia="en-US"/>
        </w:rPr>
        <w:t>, no.</w:t>
      </w:r>
      <w:r w:rsidR="002A0EE4" w:rsidRPr="000B2646">
        <w:rPr>
          <w:szCs w:val="22"/>
          <w:lang w:val="en-US" w:eastAsia="en-US"/>
        </w:rPr>
        <w:t> </w:t>
      </w:r>
      <w:r w:rsidR="002A0EE4" w:rsidRPr="000B2646">
        <w:rPr>
          <w:szCs w:val="22"/>
          <w:lang w:eastAsia="en-US"/>
        </w:rPr>
        <w:t>20546/07</w:t>
      </w:r>
      <w:r w:rsidR="002A0EE4" w:rsidRPr="000B2646">
        <w:rPr>
          <w:snapToGrid w:val="0"/>
          <w:lang w:val="pt-BR" w:eastAsia="en-US"/>
        </w:rPr>
        <w:t>, §</w:t>
      </w:r>
      <w:r w:rsidR="007A357A" w:rsidRPr="000B2646">
        <w:rPr>
          <w:snapToGrid w:val="0"/>
          <w:lang w:val="pt-BR" w:eastAsia="en-US"/>
        </w:rPr>
        <w:t>§</w:t>
      </w:r>
      <w:r w:rsidR="002A0EE4" w:rsidRPr="000B2646">
        <w:rPr>
          <w:snapToGrid w:val="0"/>
          <w:lang w:val="pt-BR" w:eastAsia="en-US"/>
        </w:rPr>
        <w:t xml:space="preserve"> 158-162, 31 July 2012; see, by contrast, </w:t>
      </w:r>
      <w:r w:rsidR="002A0EE4" w:rsidRPr="000B2646">
        <w:rPr>
          <w:i/>
          <w:lang w:eastAsia="en-US"/>
        </w:rPr>
        <w:t>Maksimov v.</w:t>
      </w:r>
      <w:r w:rsidR="002A0EE4" w:rsidRPr="000B2646">
        <w:rPr>
          <w:i/>
          <w:lang w:val="en-US" w:eastAsia="en-US"/>
        </w:rPr>
        <w:t> </w:t>
      </w:r>
      <w:r w:rsidR="002A0EE4" w:rsidRPr="000B2646">
        <w:rPr>
          <w:i/>
          <w:lang w:eastAsia="en-US"/>
        </w:rPr>
        <w:t>Russia</w:t>
      </w:r>
      <w:r w:rsidR="002A0EE4" w:rsidRPr="000B2646">
        <w:rPr>
          <w:lang w:eastAsia="en-US"/>
        </w:rPr>
        <w:t>, no. 43233/02</w:t>
      </w:r>
      <w:r w:rsidR="002A0EE4" w:rsidRPr="000B2646">
        <w:rPr>
          <w:snapToGrid w:val="0"/>
          <w:lang w:eastAsia="en-US"/>
        </w:rPr>
        <w:t>, §</w:t>
      </w:r>
      <w:r w:rsidR="007A357A" w:rsidRPr="000B2646">
        <w:rPr>
          <w:snapToGrid w:val="0"/>
          <w:lang w:val="pt-BR" w:eastAsia="en-US"/>
        </w:rPr>
        <w:t>§</w:t>
      </w:r>
      <w:r w:rsidR="007A357A">
        <w:rPr>
          <w:snapToGrid w:val="0"/>
          <w:lang w:eastAsia="en-US"/>
        </w:rPr>
        <w:t> </w:t>
      </w:r>
      <w:r w:rsidR="002A0EE4" w:rsidRPr="000B2646">
        <w:rPr>
          <w:snapToGrid w:val="0"/>
          <w:lang w:eastAsia="en-US"/>
        </w:rPr>
        <w:t>80-82, 18 March 2010</w:t>
      </w:r>
      <w:r w:rsidR="002A0EE4" w:rsidRPr="000B2646">
        <w:t>)</w:t>
      </w:r>
      <w:r w:rsidR="002A0EE4" w:rsidRPr="000B2646">
        <w:rPr>
          <w:snapToGrid w:val="0"/>
          <w:lang w:val="pt-BR" w:eastAsia="en-US"/>
        </w:rPr>
        <w:t>.</w:t>
      </w:r>
    </w:p>
    <w:p w:rsidR="00122C5F" w:rsidRDefault="002A0EE4" w:rsidP="00997B8C">
      <w:pPr>
        <w:pStyle w:val="JuPara"/>
      </w:pPr>
      <w:r>
        <w:fldChar w:fldCharType="begin"/>
      </w:r>
      <w:r>
        <w:instrText xml:space="preserve"> SEQ level0 \*arabic </w:instrText>
      </w:r>
      <w:r>
        <w:fldChar w:fldCharType="separate"/>
      </w:r>
      <w:r w:rsidR="00B41E90">
        <w:rPr>
          <w:noProof/>
        </w:rPr>
        <w:t>62</w:t>
      </w:r>
      <w:r>
        <w:fldChar w:fldCharType="end"/>
      </w:r>
      <w:r>
        <w:t>.  </w:t>
      </w:r>
      <w:r w:rsidRPr="000B2646">
        <w:t>Bearing in mind the authorities</w:t>
      </w:r>
      <w:r w:rsidR="00C5795F">
        <w:t>’</w:t>
      </w:r>
      <w:r w:rsidRPr="000B2646">
        <w:t xml:space="preserve"> obligation to account for injuries caused to persons within their control (</w:t>
      </w:r>
      <w:r w:rsidRPr="000B2646">
        <w:rPr>
          <w:i/>
          <w:szCs w:val="22"/>
          <w:lang w:eastAsia="en-US"/>
        </w:rPr>
        <w:t>Ablyazov v. Russia</w:t>
      </w:r>
      <w:r w:rsidRPr="000B2646">
        <w:rPr>
          <w:szCs w:val="22"/>
          <w:lang w:eastAsia="en-US"/>
        </w:rPr>
        <w:t>, no. 22867/05</w:t>
      </w:r>
      <w:r w:rsidR="007A357A">
        <w:rPr>
          <w:snapToGrid w:val="0"/>
          <w:lang w:val="pt-BR" w:eastAsia="en-US"/>
        </w:rPr>
        <w:t>, § </w:t>
      </w:r>
      <w:r w:rsidRPr="000B2646">
        <w:rPr>
          <w:snapToGrid w:val="0"/>
          <w:lang w:val="pt-BR" w:eastAsia="en-US"/>
        </w:rPr>
        <w:t>49, 30 October 2012)</w:t>
      </w:r>
      <w:r>
        <w:rPr>
          <w:snapToGrid w:val="0"/>
          <w:lang w:val="pt-BR" w:eastAsia="en-US"/>
        </w:rPr>
        <w:t xml:space="preserve"> </w:t>
      </w:r>
      <w:r w:rsidRPr="000B2646">
        <w:t xml:space="preserve">and in the absence of a convincing and plausible explanation by the Government in the instant case, the Court finds it established that the injuries recorded in the medical report were the result of the treatment of which the applicant complained and for which the Government bears responsibility (see </w:t>
      </w:r>
      <w:r w:rsidRPr="000B2646">
        <w:rPr>
          <w:i/>
        </w:rPr>
        <w:t>Polonskiy v. Russia</w:t>
      </w:r>
      <w:r w:rsidRPr="000B2646">
        <w:t>, no. 30033/05, §</w:t>
      </w:r>
      <w:r w:rsidRPr="000B2646">
        <w:rPr>
          <w:lang w:val="en-US"/>
        </w:rPr>
        <w:t> </w:t>
      </w:r>
      <w:r w:rsidRPr="000B2646">
        <w:t>123, 19 March 2009).</w:t>
      </w:r>
    </w:p>
    <w:p w:rsidR="00141186" w:rsidRDefault="008C47E1" w:rsidP="00997B8C">
      <w:pPr>
        <w:pStyle w:val="JuPara"/>
      </w:pPr>
      <w:r w:rsidRPr="000B2646">
        <w:fldChar w:fldCharType="begin"/>
      </w:r>
      <w:r w:rsidRPr="000B2646">
        <w:instrText xml:space="preserve"> SEQ level0 \*arabic </w:instrText>
      </w:r>
      <w:r w:rsidRPr="000B2646">
        <w:fldChar w:fldCharType="separate"/>
      </w:r>
      <w:r w:rsidR="00B41E90">
        <w:rPr>
          <w:noProof/>
        </w:rPr>
        <w:t>63</w:t>
      </w:r>
      <w:r w:rsidRPr="000B2646">
        <w:fldChar w:fldCharType="end"/>
      </w:r>
      <w:r w:rsidRPr="000B2646">
        <w:t>.  </w:t>
      </w:r>
      <w:r w:rsidR="002A0EE4">
        <w:t>Having regard to the parties</w:t>
      </w:r>
      <w:r w:rsidR="00C5795F">
        <w:t>’</w:t>
      </w:r>
      <w:r w:rsidR="002A0EE4">
        <w:t xml:space="preserve"> submissions, t</w:t>
      </w:r>
      <w:r w:rsidR="003A080A" w:rsidRPr="000B2646">
        <w:t>he Court finds</w:t>
      </w:r>
      <w:r w:rsidR="008559B6" w:rsidRPr="000B2646">
        <w:t xml:space="preserve"> it established</w:t>
      </w:r>
      <w:r w:rsidR="003A080A" w:rsidRPr="000B2646">
        <w:t xml:space="preserve"> that as a result of the operative drill of 27 April 2004 the applicant was kidnapped</w:t>
      </w:r>
      <w:r w:rsidR="00B7420D" w:rsidRPr="000B2646">
        <w:t xml:space="preserve"> by police officers in disguise po</w:t>
      </w:r>
      <w:r w:rsidR="00F977FF" w:rsidRPr="000B2646">
        <w:t>sing as private security guards and</w:t>
      </w:r>
      <w:r w:rsidR="00B7420D" w:rsidRPr="000B2646">
        <w:t xml:space="preserve"> that the operation lasted for at least a few hours</w:t>
      </w:r>
      <w:r w:rsidR="003A080A" w:rsidRPr="000B2646">
        <w:t>,</w:t>
      </w:r>
      <w:r w:rsidR="00B7420D" w:rsidRPr="000B2646">
        <w:t xml:space="preserve"> during which the applicant was</w:t>
      </w:r>
      <w:r w:rsidR="003A080A" w:rsidRPr="000B2646">
        <w:t xml:space="preserve"> severely beaten and interrogated under threat</w:t>
      </w:r>
      <w:r w:rsidR="00B7420D" w:rsidRPr="000B2646">
        <w:t>, which lead to his having repeatedly lost his consciousness.</w:t>
      </w:r>
      <w:r w:rsidR="003A080A" w:rsidRPr="000B2646">
        <w:t xml:space="preserve"> </w:t>
      </w:r>
      <w:r w:rsidR="00B7420D" w:rsidRPr="000B2646">
        <w:t xml:space="preserve">This method of ill-treatment was undoubtedly applied to the applicant intentionally, its only aim having been to intimidate, humiliate and debase </w:t>
      </w:r>
      <w:r w:rsidR="00B7420D" w:rsidRPr="002A0EE4">
        <w:t>him</w:t>
      </w:r>
      <w:r w:rsidR="00B7420D" w:rsidRPr="002A0EE4">
        <w:rPr>
          <w:szCs w:val="24"/>
        </w:rPr>
        <w:t xml:space="preserve"> and break his physical and moral resistance</w:t>
      </w:r>
      <w:r w:rsidR="002A0EE4" w:rsidRPr="000B2646">
        <w:t xml:space="preserve"> with a view to forcing him to confess to a crime</w:t>
      </w:r>
      <w:r w:rsidR="002A0EE4">
        <w:t>.</w:t>
      </w:r>
    </w:p>
    <w:p w:rsidR="00122C5F" w:rsidRDefault="001C6F7F" w:rsidP="00997B8C">
      <w:pPr>
        <w:pStyle w:val="JuPara"/>
      </w:pPr>
      <w:r>
        <w:fldChar w:fldCharType="begin"/>
      </w:r>
      <w:r>
        <w:instrText xml:space="preserve"> SEQ level0 \*arabic </w:instrText>
      </w:r>
      <w:r>
        <w:fldChar w:fldCharType="separate"/>
      </w:r>
      <w:r w:rsidR="00B41E90">
        <w:rPr>
          <w:noProof/>
        </w:rPr>
        <w:t>64</w:t>
      </w:r>
      <w:r>
        <w:fldChar w:fldCharType="end"/>
      </w:r>
      <w:r>
        <w:t>.  </w:t>
      </w:r>
      <w:r w:rsidRPr="005824B7">
        <w:t xml:space="preserve">The police </w:t>
      </w:r>
      <w:r w:rsidRPr="001C6F7F">
        <w:t>officers in the present case acted in a ruthle</w:t>
      </w:r>
      <w:r w:rsidR="00C5003E">
        <w:t xml:space="preserve">ss and violent manner and the operation </w:t>
      </w:r>
      <w:r w:rsidR="009971C1">
        <w:t>w</w:t>
      </w:r>
      <w:r w:rsidR="00C5003E">
        <w:t>as</w:t>
      </w:r>
      <w:r w:rsidR="009971C1">
        <w:t xml:space="preserve"> conducted </w:t>
      </w:r>
      <w:r w:rsidRPr="001C6F7F">
        <w:t xml:space="preserve">with full knowledge and consent of their superiors in the Regional Department of the Interior (see paragraph </w:t>
      </w:r>
      <w:r w:rsidR="00C5003E">
        <w:rPr>
          <w:noProof/>
        </w:rPr>
        <w:t>8</w:t>
      </w:r>
      <w:r w:rsidRPr="001C6F7F">
        <w:t xml:space="preserve"> above)</w:t>
      </w:r>
      <w:r w:rsidR="00AE1954">
        <w:t>.</w:t>
      </w:r>
      <w:r w:rsidR="009971C1">
        <w:t xml:space="preserve"> </w:t>
      </w:r>
      <w:r w:rsidR="00C5003E">
        <w:t>T</w:t>
      </w:r>
      <w:r>
        <w:t xml:space="preserve">he Court </w:t>
      </w:r>
      <w:r w:rsidR="009971C1">
        <w:t>considers that such actions on</w:t>
      </w:r>
      <w:r w:rsidR="00C5003E">
        <w:t xml:space="preserve"> the part of the authorities have</w:t>
      </w:r>
      <w:r w:rsidR="009971C1">
        <w:t xml:space="preserve"> no place </w:t>
      </w:r>
      <w:r w:rsidR="009174D9">
        <w:t>in a democratic society</w:t>
      </w:r>
      <w:r>
        <w:t xml:space="preserve"> </w:t>
      </w:r>
      <w:r w:rsidR="009174D9">
        <w:t xml:space="preserve">and </w:t>
      </w:r>
      <w:r w:rsidR="00C5003E">
        <w:t>are</w:t>
      </w:r>
      <w:r w:rsidR="009971C1">
        <w:t xml:space="preserve"> in itself </w:t>
      </w:r>
      <w:r w:rsidR="009174D9">
        <w:t xml:space="preserve">in contravention </w:t>
      </w:r>
      <w:r w:rsidR="009971C1">
        <w:t>of the States</w:t>
      </w:r>
      <w:r w:rsidR="00C5795F">
        <w:t>’</w:t>
      </w:r>
      <w:r w:rsidR="009971C1">
        <w:t xml:space="preserve"> </w:t>
      </w:r>
      <w:r w:rsidR="009174D9">
        <w:t>obligations under Article 3 of the Convention.</w:t>
      </w:r>
    </w:p>
    <w:p w:rsidR="00122C5F" w:rsidRDefault="00C5003E" w:rsidP="00997B8C">
      <w:pPr>
        <w:pStyle w:val="JuPara"/>
      </w:pPr>
      <w:r>
        <w:fldChar w:fldCharType="begin"/>
      </w:r>
      <w:r>
        <w:instrText xml:space="preserve"> SEQ level0 \*arabic </w:instrText>
      </w:r>
      <w:r>
        <w:fldChar w:fldCharType="separate"/>
      </w:r>
      <w:r w:rsidR="00B41E90">
        <w:rPr>
          <w:noProof/>
        </w:rPr>
        <w:t>65</w:t>
      </w:r>
      <w:r>
        <w:fldChar w:fldCharType="end"/>
      </w:r>
      <w:r>
        <w:t>.  </w:t>
      </w:r>
      <w:r w:rsidR="009971C1">
        <w:t>In this respect, t</w:t>
      </w:r>
      <w:r w:rsidR="001C6F7F">
        <w:t xml:space="preserve">he Court </w:t>
      </w:r>
      <w:r w:rsidR="001C6F7F" w:rsidRPr="005824B7">
        <w:t>would underline that,</w:t>
      </w:r>
      <w:r w:rsidR="001C6F7F">
        <w:t xml:space="preserve"> having regard to its long-established case-law (see </w:t>
      </w:r>
      <w:r w:rsidR="001C6F7F" w:rsidRPr="00081659">
        <w:rPr>
          <w:i/>
        </w:rPr>
        <w:t>Chahal v. the United Kingdom</w:t>
      </w:r>
      <w:r w:rsidR="001C6F7F" w:rsidRPr="00081659">
        <w:t xml:space="preserve">, 15 November 1996, § </w:t>
      </w:r>
      <w:r w:rsidR="001C6F7F">
        <w:t>79</w:t>
      </w:r>
      <w:r w:rsidR="001C6F7F" w:rsidRPr="00081659">
        <w:t xml:space="preserve">, </w:t>
      </w:r>
      <w:r w:rsidR="001C6F7F" w:rsidRPr="00081659">
        <w:rPr>
          <w:i/>
        </w:rPr>
        <w:t>Reports of Judgments and Decisions</w:t>
      </w:r>
      <w:r w:rsidR="001C6F7F" w:rsidRPr="00081659">
        <w:t xml:space="preserve"> 1996</w:t>
      </w:r>
      <w:r w:rsidR="001C6F7F" w:rsidRPr="00081659">
        <w:noBreakHyphen/>
        <w:t>V</w:t>
      </w:r>
      <w:r w:rsidR="001C6F7F">
        <w:t xml:space="preserve">; </w:t>
      </w:r>
      <w:r w:rsidR="001C6F7F" w:rsidRPr="007F5A7A">
        <w:rPr>
          <w:i/>
        </w:rPr>
        <w:t>Labita v. Italy</w:t>
      </w:r>
      <w:r w:rsidR="001C6F7F" w:rsidRPr="007F5A7A">
        <w:t xml:space="preserve"> [GC]</w:t>
      </w:r>
      <w:r w:rsidR="001C6F7F" w:rsidRPr="005824B7">
        <w:t>, cited above, § 119</w:t>
      </w:r>
      <w:r w:rsidR="001C6F7F">
        <w:t xml:space="preserve">; </w:t>
      </w:r>
      <w:r w:rsidR="001C6F7F" w:rsidRPr="00141186">
        <w:rPr>
          <w:i/>
        </w:rPr>
        <w:t>Selmouni v. France</w:t>
      </w:r>
      <w:r w:rsidR="001C6F7F" w:rsidRPr="00141186">
        <w:t xml:space="preserve"> [GC],</w:t>
      </w:r>
      <w:r w:rsidR="001C6F7F">
        <w:t xml:space="preserve"> cited above</w:t>
      </w:r>
      <w:r w:rsidR="001C6F7F" w:rsidRPr="005824B7">
        <w:t xml:space="preserve">, </w:t>
      </w:r>
      <w:r w:rsidR="001C6F7F">
        <w:t xml:space="preserve">§ 95; </w:t>
      </w:r>
      <w:r w:rsidR="00471E15">
        <w:rPr>
          <w:i/>
        </w:rPr>
        <w:t>V. </w:t>
      </w:r>
      <w:r w:rsidR="007A357A">
        <w:rPr>
          <w:i/>
        </w:rPr>
        <w:t>v. </w:t>
      </w:r>
      <w:r w:rsidR="001C6F7F" w:rsidRPr="00B668D2">
        <w:rPr>
          <w:i/>
        </w:rPr>
        <w:t>the United Kingdom</w:t>
      </w:r>
      <w:r w:rsidR="001C6F7F" w:rsidRPr="00B668D2">
        <w:t xml:space="preserve"> [GC], no. 24888/94, § </w:t>
      </w:r>
      <w:r w:rsidR="001C6F7F">
        <w:t>69</w:t>
      </w:r>
      <w:r w:rsidR="001C6F7F" w:rsidRPr="00B668D2">
        <w:t>, ECHR 1999</w:t>
      </w:r>
      <w:r w:rsidR="001C6F7F" w:rsidRPr="00B668D2">
        <w:noBreakHyphen/>
        <w:t>IX</w:t>
      </w:r>
      <w:r w:rsidR="001C6F7F">
        <w:t xml:space="preserve">; </w:t>
      </w:r>
      <w:r w:rsidR="001C6F7F" w:rsidRPr="005824B7">
        <w:rPr>
          <w:i/>
          <w:lang w:val="en-US"/>
        </w:rPr>
        <w:t>Ramirez Sanchez v. France</w:t>
      </w:r>
      <w:r w:rsidR="001C6F7F" w:rsidRPr="005824B7">
        <w:rPr>
          <w:lang w:val="en-US"/>
        </w:rPr>
        <w:t xml:space="preserve"> [GC], no. 59450/00, § 116, </w:t>
      </w:r>
      <w:r w:rsidR="001C6F7F" w:rsidRPr="005824B7">
        <w:rPr>
          <w:szCs w:val="24"/>
          <w:lang w:val="en-US"/>
        </w:rPr>
        <w:t>ECHR 2006</w:t>
      </w:r>
      <w:r w:rsidR="001C6F7F" w:rsidRPr="005824B7">
        <w:rPr>
          <w:szCs w:val="24"/>
          <w:lang w:val="en-US"/>
        </w:rPr>
        <w:noBreakHyphen/>
        <w:t>IX</w:t>
      </w:r>
      <w:r w:rsidR="001C6F7F">
        <w:rPr>
          <w:szCs w:val="24"/>
          <w:lang w:val="en-US"/>
        </w:rPr>
        <w:t xml:space="preserve">; </w:t>
      </w:r>
      <w:r w:rsidR="007A357A">
        <w:rPr>
          <w:i/>
          <w:szCs w:val="24"/>
          <w:lang w:val="it-IT"/>
        </w:rPr>
        <w:t>Saadi v. </w:t>
      </w:r>
      <w:r w:rsidR="001C6F7F" w:rsidRPr="00B668D2">
        <w:rPr>
          <w:i/>
          <w:szCs w:val="24"/>
          <w:lang w:val="it-IT"/>
        </w:rPr>
        <w:t>Italy</w:t>
      </w:r>
      <w:r w:rsidR="001C6F7F" w:rsidRPr="00B668D2">
        <w:rPr>
          <w:szCs w:val="24"/>
          <w:lang w:val="it-IT"/>
        </w:rPr>
        <w:t xml:space="preserve"> [GC], no. 37201/06</w:t>
      </w:r>
      <w:r w:rsidR="001C6F7F" w:rsidRPr="00B668D2">
        <w:rPr>
          <w:lang w:val="it-IT"/>
        </w:rPr>
        <w:t xml:space="preserve">, § </w:t>
      </w:r>
      <w:r w:rsidR="001C6F7F">
        <w:rPr>
          <w:lang w:val="it-IT"/>
        </w:rPr>
        <w:t>127</w:t>
      </w:r>
      <w:r w:rsidR="001C6F7F" w:rsidRPr="00B668D2">
        <w:rPr>
          <w:lang w:val="it-IT"/>
        </w:rPr>
        <w:t>, ECHR 2008</w:t>
      </w:r>
      <w:r w:rsidR="001C6F7F">
        <w:rPr>
          <w:lang w:val="it-IT"/>
        </w:rPr>
        <w:t xml:space="preserve">; and </w:t>
      </w:r>
      <w:r w:rsidR="00471E15">
        <w:rPr>
          <w:i/>
          <w:lang w:eastAsia="en-US"/>
        </w:rPr>
        <w:t>Gäfgen v. </w:t>
      </w:r>
      <w:r w:rsidR="001C6F7F" w:rsidRPr="00141186">
        <w:rPr>
          <w:i/>
          <w:lang w:eastAsia="en-US"/>
        </w:rPr>
        <w:t>Germany</w:t>
      </w:r>
      <w:r w:rsidR="001C6F7F" w:rsidRPr="00141186">
        <w:rPr>
          <w:lang w:eastAsia="en-US"/>
        </w:rPr>
        <w:t xml:space="preserve"> [GC], </w:t>
      </w:r>
      <w:r w:rsidR="001C6F7F">
        <w:rPr>
          <w:lang w:eastAsia="en-US"/>
        </w:rPr>
        <w:t>cited above</w:t>
      </w:r>
      <w:r w:rsidR="001C6F7F" w:rsidRPr="00141186">
        <w:rPr>
          <w:lang w:eastAsia="en-US"/>
        </w:rPr>
        <w:t>, §</w:t>
      </w:r>
      <w:r w:rsidR="001C6F7F">
        <w:rPr>
          <w:lang w:eastAsia="en-US"/>
        </w:rPr>
        <w:t> </w:t>
      </w:r>
      <w:r w:rsidR="001C6F7F" w:rsidRPr="00141186">
        <w:rPr>
          <w:lang w:eastAsia="en-US"/>
        </w:rPr>
        <w:t>107</w:t>
      </w:r>
      <w:r w:rsidR="001C6F7F" w:rsidRPr="00141186">
        <w:t>)</w:t>
      </w:r>
      <w:r w:rsidR="001C6F7F">
        <w:t>, the prohibition on ill-treatment of a person applies irrespective of the conduct of the victim or the motivation of the authorities. No derogation is allowed even in the event of a public emergency threatening the life of the nation. Article 3, which has been framed in unambiguous terms, recognises that every human being has an absolute, inalienable right not to be subjected to torture or to inhuman or degrading treatment under any circumstances, even the most difficult. The philosophical basis underpinning the absolute nature of the right under Article 3 does not allow for any exceptions or justifying factors or balancing of interests, irrespective of the conduct of the person concerned and the nature of the offence at issue.</w:t>
      </w:r>
    </w:p>
    <w:p w:rsidR="000B2646" w:rsidRPr="002A0EE4" w:rsidRDefault="00C5003E" w:rsidP="00997B8C">
      <w:pPr>
        <w:pStyle w:val="JuPara"/>
      </w:pPr>
      <w:r>
        <w:fldChar w:fldCharType="begin"/>
      </w:r>
      <w:r>
        <w:instrText xml:space="preserve"> SEQ level0 \*arabic </w:instrText>
      </w:r>
      <w:r>
        <w:fldChar w:fldCharType="separate"/>
      </w:r>
      <w:r w:rsidR="00B41E90">
        <w:rPr>
          <w:noProof/>
        </w:rPr>
        <w:t>66</w:t>
      </w:r>
      <w:r>
        <w:fldChar w:fldCharType="end"/>
      </w:r>
      <w:r>
        <w:t>.  </w:t>
      </w:r>
      <w:r w:rsidR="000B2646" w:rsidRPr="002A0EE4">
        <w:t xml:space="preserve">The Court has no doubt that </w:t>
      </w:r>
      <w:r w:rsidR="007A357A">
        <w:t>the aforementioned forms of ill</w:t>
      </w:r>
      <w:r w:rsidR="007A357A">
        <w:noBreakHyphen/>
      </w:r>
      <w:r w:rsidR="000B2646" w:rsidRPr="002A0EE4">
        <w:t xml:space="preserve">treatment caused the applicant severe physical pain and suffering, and that they </w:t>
      </w:r>
      <w:r w:rsidR="000B2646" w:rsidRPr="002A0EE4">
        <w:rPr>
          <w:szCs w:val="24"/>
        </w:rPr>
        <w:t>were inflicted on him intentionally</w:t>
      </w:r>
      <w:r w:rsidR="000B2646" w:rsidRPr="002A0EE4">
        <w:t>. Having regard to the relevant factors indicated in the Court</w:t>
      </w:r>
      <w:r w:rsidR="00C5795F">
        <w:t>’</w:t>
      </w:r>
      <w:r w:rsidR="000B2646" w:rsidRPr="002A0EE4">
        <w:t xml:space="preserve">s case-law (see paragraphs </w:t>
      </w:r>
      <w:r>
        <w:rPr>
          <w:noProof/>
        </w:rPr>
        <w:t>57</w:t>
      </w:r>
      <w:r w:rsidR="000B2646" w:rsidRPr="002A0EE4">
        <w:t>-</w:t>
      </w:r>
      <w:r>
        <w:rPr>
          <w:noProof/>
        </w:rPr>
        <w:t>58</w:t>
      </w:r>
      <w:r w:rsidR="000B2646" w:rsidRPr="002A0EE4">
        <w:t xml:space="preserve"> above), it is satisfied that the accumulation of acts of violence and threats inflicted on the applicant amounted to torture within the meaning of Article 3 of the Convention.</w:t>
      </w:r>
    </w:p>
    <w:p w:rsidR="003A080A" w:rsidRDefault="00B7420D" w:rsidP="00997B8C">
      <w:pPr>
        <w:pStyle w:val="JuPara"/>
      </w:pPr>
      <w:r w:rsidRPr="001C6F7F">
        <w:fldChar w:fldCharType="begin"/>
      </w:r>
      <w:r w:rsidRPr="001C6F7F">
        <w:instrText xml:space="preserve"> SEQ level0 \*arabic </w:instrText>
      </w:r>
      <w:r w:rsidRPr="001C6F7F">
        <w:fldChar w:fldCharType="separate"/>
      </w:r>
      <w:r w:rsidR="00B41E90">
        <w:rPr>
          <w:noProof/>
        </w:rPr>
        <w:t>67</w:t>
      </w:r>
      <w:r w:rsidRPr="001C6F7F">
        <w:fldChar w:fldCharType="end"/>
      </w:r>
      <w:r w:rsidRPr="001C6F7F">
        <w:t>.  </w:t>
      </w:r>
      <w:r w:rsidR="003A080A" w:rsidRPr="001C6F7F">
        <w:t xml:space="preserve">Accordingly, there has been a violation of </w:t>
      </w:r>
      <w:r w:rsidR="00522640">
        <w:t xml:space="preserve">the substantive aspect of </w:t>
      </w:r>
      <w:r w:rsidR="003A080A" w:rsidRPr="001C6F7F">
        <w:t>Article 3 of the Convention on that account.</w:t>
      </w:r>
    </w:p>
    <w:p w:rsidR="00141186" w:rsidRDefault="008C47E1" w:rsidP="008C47E1">
      <w:pPr>
        <w:pStyle w:val="JuHa0"/>
      </w:pPr>
      <w:r w:rsidRPr="003C303C">
        <w:t>(b)</w:t>
      </w:r>
      <w:r w:rsidR="00B526B3">
        <w:t>  </w:t>
      </w:r>
      <w:r w:rsidR="004A4D10" w:rsidRPr="003C303C">
        <w:t>T</w:t>
      </w:r>
      <w:r w:rsidRPr="003C303C">
        <w:t>he subsequent investigation</w:t>
      </w:r>
    </w:p>
    <w:p w:rsidR="008C47E1" w:rsidRPr="00141186" w:rsidRDefault="008C47E1" w:rsidP="008C47E1">
      <w:pPr>
        <w:pStyle w:val="JuHi"/>
      </w:pPr>
      <w:r w:rsidRPr="00141186">
        <w:t>(i)</w:t>
      </w:r>
      <w:r w:rsidR="00B526B3">
        <w:t>  </w:t>
      </w:r>
      <w:r w:rsidRPr="00141186">
        <w:t>General principles</w:t>
      </w:r>
    </w:p>
    <w:p w:rsidR="008C47E1" w:rsidRPr="003C303C" w:rsidRDefault="008C47E1" w:rsidP="008C47E1">
      <w:pPr>
        <w:pStyle w:val="JuPara"/>
        <w:rPr>
          <w:lang w:eastAsia="en-US"/>
        </w:rPr>
      </w:pPr>
      <w:r w:rsidRPr="008970F4">
        <w:fldChar w:fldCharType="begin"/>
      </w:r>
      <w:r w:rsidRPr="00141186">
        <w:instrText xml:space="preserve"> SEQ level0 \*arabic </w:instrText>
      </w:r>
      <w:r w:rsidRPr="00141186">
        <w:fldChar w:fldCharType="separate"/>
      </w:r>
      <w:r w:rsidR="00B41E90">
        <w:rPr>
          <w:noProof/>
        </w:rPr>
        <w:t>68</w:t>
      </w:r>
      <w:r w:rsidRPr="007F5A7A">
        <w:fldChar w:fldCharType="end"/>
      </w:r>
      <w:r w:rsidRPr="008970F4">
        <w:t>.  The Court reiterates that where an individual raises an arguable claim that he has been seriously ill-treated by the police or other such agents of the State unlawfully and i</w:t>
      </w:r>
      <w:r w:rsidRPr="00AB1F89">
        <w:t>n breach of Article 3, that provision, read in conjunction with the State</w:t>
      </w:r>
      <w:r w:rsidR="00C5795F">
        <w:t>’</w:t>
      </w:r>
      <w:r w:rsidRPr="00AB1F89">
        <w:t>s general duty under Article 1 of the Convention to “secure to everyone within [its] jurisdiction the rights and freedoms defined in ... [the] Convention”, requires by implication th</w:t>
      </w:r>
      <w:r w:rsidRPr="007104F2">
        <w:t xml:space="preserve">at there should be an effective official investigation. This investigation should be capable of leading to the identification and punishment of those responsible (see </w:t>
      </w:r>
      <w:r w:rsidRPr="007F5A7A">
        <w:rPr>
          <w:i/>
          <w:lang w:eastAsia="en-US"/>
        </w:rPr>
        <w:t>Assenov and Others v. Bulgaria</w:t>
      </w:r>
      <w:r w:rsidRPr="007F5A7A">
        <w:rPr>
          <w:lang w:eastAsia="en-US"/>
        </w:rPr>
        <w:t xml:space="preserve">, 28 October 1998, § 102, </w:t>
      </w:r>
      <w:r w:rsidRPr="003C303C">
        <w:rPr>
          <w:i/>
          <w:lang w:eastAsia="en-US"/>
        </w:rPr>
        <w:t xml:space="preserve">Reports </w:t>
      </w:r>
      <w:r w:rsidRPr="003C303C">
        <w:rPr>
          <w:lang w:eastAsia="en-US"/>
        </w:rPr>
        <w:t>1998</w:t>
      </w:r>
      <w:r w:rsidRPr="003C303C">
        <w:rPr>
          <w:lang w:eastAsia="en-US"/>
        </w:rPr>
        <w:noBreakHyphen/>
        <w:t>VIII</w:t>
      </w:r>
      <w:r w:rsidRPr="003C303C">
        <w:t>).</w:t>
      </w:r>
    </w:p>
    <w:p w:rsidR="008C47E1" w:rsidRPr="007F5A7A"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69</w:t>
      </w:r>
      <w:r w:rsidRPr="007F5A7A">
        <w:fldChar w:fldCharType="end"/>
      </w:r>
      <w:r w:rsidRPr="008970F4">
        <w:t>.  An obligation to investigate “is not an obligation of result, but of means”: not every investigation should necessarily be successful or come to a conclusion which coincides with the claimant</w:t>
      </w:r>
      <w:r w:rsidR="00C5795F">
        <w:t>’</w:t>
      </w:r>
      <w:r w:rsidRPr="008970F4">
        <w:t>s account of events; however, it should in pri</w:t>
      </w:r>
      <w:r w:rsidRPr="00AB1F89">
        <w:t xml:space="preserve">nciple be capable of leading to the establishment of the facts of the case and, if the allegations prove to be true, to the identification and punishment of those responsible (see </w:t>
      </w:r>
      <w:r w:rsidRPr="007104F2">
        <w:rPr>
          <w:i/>
          <w:iCs/>
        </w:rPr>
        <w:t>Paul a</w:t>
      </w:r>
      <w:r w:rsidRPr="007F5A7A">
        <w:rPr>
          <w:i/>
          <w:iCs/>
        </w:rPr>
        <w:t>nd Audrey Edwards</w:t>
      </w:r>
      <w:r w:rsidRPr="007F5A7A">
        <w:t xml:space="preserve">, </w:t>
      </w:r>
      <w:r w:rsidR="00BE3DB6" w:rsidRPr="003C303C">
        <w:t>cited above</w:t>
      </w:r>
      <w:r w:rsidRPr="003C303C">
        <w:t>, § 71</w:t>
      </w:r>
      <w:r w:rsidR="000E4FA9" w:rsidRPr="00141186">
        <w:t>;</w:t>
      </w:r>
      <w:r w:rsidRPr="00141186">
        <w:t xml:space="preserve"> and </w:t>
      </w:r>
      <w:r w:rsidRPr="00141186">
        <w:rPr>
          <w:i/>
          <w:iCs/>
        </w:rPr>
        <w:t>Mahmut Kaya v. Turkey</w:t>
      </w:r>
      <w:r w:rsidRPr="00141186">
        <w:t>, no. 22535/93, §</w:t>
      </w:r>
      <w:r w:rsidR="00AB1F89" w:rsidRPr="00141186">
        <w:rPr>
          <w:lang w:val="en-US"/>
        </w:rPr>
        <w:t> </w:t>
      </w:r>
      <w:r w:rsidRPr="007F5A7A">
        <w:t>124, ECHR 2000-III).</w:t>
      </w:r>
    </w:p>
    <w:p w:rsidR="008C47E1" w:rsidRPr="00141186"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70</w:t>
      </w:r>
      <w:r w:rsidRPr="007F5A7A">
        <w:fldChar w:fldCharType="end"/>
      </w:r>
      <w:r w:rsidRPr="008970F4">
        <w:t xml:space="preserve">.  An investigation into serious allegations of ill-treatment must be thorough. That means that the authorities must always make a serious attempt </w:t>
      </w:r>
      <w:r w:rsidRPr="00AB1F89">
        <w:t>to find out what happened and should not rely on hasty or ill</w:t>
      </w:r>
      <w:r w:rsidRPr="00AB1F89">
        <w:noBreakHyphen/>
        <w:t xml:space="preserve">founded conclusions to close their investigation or as the basis for their decisions (see </w:t>
      </w:r>
      <w:r w:rsidRPr="007104F2">
        <w:rPr>
          <w:i/>
          <w:iCs/>
        </w:rPr>
        <w:t>Assenov and Others</w:t>
      </w:r>
      <w:r w:rsidRPr="007F5A7A">
        <w:t>, cited above, §§ 103 et seq.). They must take all reasonable steps available to them to secure evidence concerning the incident, including,</w:t>
      </w:r>
      <w:r w:rsidRPr="007F5A7A">
        <w:rPr>
          <w:i/>
          <w:iCs/>
        </w:rPr>
        <w:t xml:space="preserve"> inter alia</w:t>
      </w:r>
      <w:r w:rsidRPr="007F5A7A">
        <w:rPr>
          <w:iCs/>
        </w:rPr>
        <w:t>,</w:t>
      </w:r>
      <w:r w:rsidRPr="003C303C">
        <w:rPr>
          <w:i/>
          <w:iCs/>
        </w:rPr>
        <w:t xml:space="preserve"> </w:t>
      </w:r>
      <w:r w:rsidRPr="003C303C">
        <w:t xml:space="preserve">eyewitness </w:t>
      </w:r>
      <w:r w:rsidR="008D0981" w:rsidRPr="003C303C">
        <w:t xml:space="preserve">statements </w:t>
      </w:r>
      <w:r w:rsidRPr="003C303C">
        <w:t xml:space="preserve">and forensic evidence (see, </w:t>
      </w:r>
      <w:r w:rsidRPr="00141186">
        <w:rPr>
          <w:i/>
          <w:iCs/>
        </w:rPr>
        <w:t>mutatis mutandis</w:t>
      </w:r>
      <w:r w:rsidRPr="00141186">
        <w:t xml:space="preserve">, </w:t>
      </w:r>
      <w:r w:rsidRPr="00141186">
        <w:rPr>
          <w:i/>
          <w:iCs/>
        </w:rPr>
        <w:t>Salman</w:t>
      </w:r>
      <w:r w:rsidR="003335A5">
        <w:rPr>
          <w:i/>
          <w:iCs/>
        </w:rPr>
        <w:t xml:space="preserve"> v. Turkey</w:t>
      </w:r>
      <w:r w:rsidRPr="003C303C">
        <w:t xml:space="preserve">, </w:t>
      </w:r>
      <w:r w:rsidR="003335A5">
        <w:t>cited above</w:t>
      </w:r>
      <w:r w:rsidRPr="003C303C">
        <w:t xml:space="preserve">, § 106; </w:t>
      </w:r>
      <w:r w:rsidR="00141186">
        <w:rPr>
          <w:i/>
          <w:iCs/>
        </w:rPr>
        <w:t>Tanrıkulu v. </w:t>
      </w:r>
      <w:r w:rsidRPr="003C303C">
        <w:rPr>
          <w:i/>
          <w:iCs/>
        </w:rPr>
        <w:t>Turkey</w:t>
      </w:r>
      <w:r w:rsidRPr="00141186">
        <w:t xml:space="preserve"> [GC], no. 23763/94, §§ 104 et seq., ECHR 1999-IV; and </w:t>
      </w:r>
      <w:r w:rsidR="00141186">
        <w:rPr>
          <w:i/>
          <w:iCs/>
        </w:rPr>
        <w:t>Gül v. </w:t>
      </w:r>
      <w:r w:rsidRPr="00141186">
        <w:rPr>
          <w:i/>
          <w:iCs/>
        </w:rPr>
        <w:t>Turkey</w:t>
      </w:r>
      <w:r w:rsidRPr="00141186">
        <w:t>, no. 22676/93, § 89, 14 December 2000). Any deficiency in the investigation which undermines its ability to establish the cause of injuries or the identity of the persons responsible will risk falling foul of this standard.</w:t>
      </w:r>
    </w:p>
    <w:p w:rsidR="008C47E1" w:rsidRPr="00141186"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71</w:t>
      </w:r>
      <w:r w:rsidRPr="007F5A7A">
        <w:fldChar w:fldCharType="end"/>
      </w:r>
      <w:r w:rsidRPr="008970F4">
        <w:t xml:space="preserve">.  Furthermore, the investigation must be expeditious. In cases examined under Articles 2 and 3 of the Convention, where the effectiveness of the official investigation is </w:t>
      </w:r>
      <w:r w:rsidRPr="00AB1F89">
        <w:t xml:space="preserve">at issue, the Court has often assessed whether the authorities reacted promptly to the complaints at the relevant time (see </w:t>
      </w:r>
      <w:r w:rsidRPr="007104F2">
        <w:rPr>
          <w:i/>
          <w:iCs/>
        </w:rPr>
        <w:t>Labita</w:t>
      </w:r>
      <w:r w:rsidRPr="007F5A7A">
        <w:t xml:space="preserve">, cited above, §§ 133 et seq.). Consideration has been given to the starting of investigations, delays in taking statements (see </w:t>
      </w:r>
      <w:r w:rsidRPr="007F5A7A">
        <w:rPr>
          <w:i/>
          <w:iCs/>
        </w:rPr>
        <w:t>Timurtaş v. Turkey</w:t>
      </w:r>
      <w:r w:rsidRPr="003C303C">
        <w:t>, no. 23531/94, § 89, ECHR 2000-VI</w:t>
      </w:r>
      <w:r w:rsidR="000E4FA9" w:rsidRPr="003C303C">
        <w:t>;</w:t>
      </w:r>
      <w:r w:rsidRPr="003C303C">
        <w:t xml:space="preserve"> and </w:t>
      </w:r>
      <w:r w:rsidRPr="00141186">
        <w:rPr>
          <w:i/>
          <w:iCs/>
        </w:rPr>
        <w:t>Tekin v. Turkey</w:t>
      </w:r>
      <w:r w:rsidRPr="00141186">
        <w:t xml:space="preserve">, </w:t>
      </w:r>
      <w:r w:rsidR="00230F01">
        <w:t>cited above</w:t>
      </w:r>
      <w:r w:rsidRPr="00141186">
        <w:t xml:space="preserve">, </w:t>
      </w:r>
      <w:r w:rsidRPr="00141186">
        <w:rPr>
          <w:i/>
          <w:iCs/>
        </w:rPr>
        <w:t xml:space="preserve">Reports </w:t>
      </w:r>
      <w:r w:rsidRPr="00141186">
        <w:t>1998-IV</w:t>
      </w:r>
      <w:r w:rsidR="00230F01">
        <w:t xml:space="preserve">, </w:t>
      </w:r>
      <w:r w:rsidR="00230F01" w:rsidRPr="00141186">
        <w:t>§ 67</w:t>
      </w:r>
      <w:r w:rsidRPr="00141186">
        <w:t xml:space="preserve">), and the length of time taken to complete the initial investigation (see </w:t>
      </w:r>
      <w:r w:rsidRPr="00141186">
        <w:rPr>
          <w:i/>
          <w:iCs/>
        </w:rPr>
        <w:t>Indelicato v. Italy</w:t>
      </w:r>
      <w:r w:rsidRPr="00141186">
        <w:t>, no. 31143/96, § 37, 18 October 2001).</w:t>
      </w:r>
    </w:p>
    <w:p w:rsidR="008C47E1" w:rsidRPr="00141186" w:rsidRDefault="00B526B3" w:rsidP="008C47E1">
      <w:pPr>
        <w:pStyle w:val="JuHi"/>
      </w:pPr>
      <w:r>
        <w:t>(ii)  </w:t>
      </w:r>
      <w:r w:rsidR="008C47E1" w:rsidRPr="00141186">
        <w:t>Application of the principles to the present case</w:t>
      </w:r>
    </w:p>
    <w:p w:rsidR="008C47E1" w:rsidRPr="00141186"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72</w:t>
      </w:r>
      <w:r w:rsidRPr="007F5A7A">
        <w:fldChar w:fldCharType="end"/>
      </w:r>
      <w:r w:rsidRPr="008970F4">
        <w:t>.  T</w:t>
      </w:r>
      <w:r w:rsidRPr="00AB1F89">
        <w:t xml:space="preserve">he Court </w:t>
      </w:r>
      <w:r w:rsidR="009971C1">
        <w:t xml:space="preserve">finds it established </w:t>
      </w:r>
      <w:r w:rsidRPr="00AB1F89">
        <w:t xml:space="preserve">that the medical evidence (see paragraphs </w:t>
      </w:r>
      <w:r w:rsidR="00C5003E">
        <w:rPr>
          <w:noProof/>
        </w:rPr>
        <w:t>15</w:t>
      </w:r>
      <w:r w:rsidRPr="008970F4">
        <w:t xml:space="preserve"> and </w:t>
      </w:r>
      <w:r w:rsidR="00C5003E">
        <w:rPr>
          <w:noProof/>
        </w:rPr>
        <w:t>16</w:t>
      </w:r>
      <w:r w:rsidR="00545C8C" w:rsidRPr="008970F4">
        <w:t xml:space="preserve"> above</w:t>
      </w:r>
      <w:r w:rsidRPr="00AB1F89">
        <w:t>) and the fact that the applicant s</w:t>
      </w:r>
      <w:r w:rsidRPr="007104F2">
        <w:t>ustained injuries while being in State custody g</w:t>
      </w:r>
      <w:r w:rsidR="009971C1">
        <w:t>a</w:t>
      </w:r>
      <w:r w:rsidRPr="007104F2">
        <w:t xml:space="preserve">ve rise to a reasonable suspicion that the injuries he sustained </w:t>
      </w:r>
      <w:r w:rsidR="009971C1">
        <w:t xml:space="preserve">were </w:t>
      </w:r>
      <w:r w:rsidRPr="007104F2">
        <w:t xml:space="preserve">attributable to the police. </w:t>
      </w:r>
      <w:r w:rsidR="00575F01" w:rsidRPr="003C303C">
        <w:t xml:space="preserve">It </w:t>
      </w:r>
      <w:r w:rsidRPr="003C303C">
        <w:t>was</w:t>
      </w:r>
      <w:r w:rsidR="00575F01" w:rsidRPr="003C303C">
        <w:t xml:space="preserve"> therefore</w:t>
      </w:r>
      <w:r w:rsidRPr="003C303C">
        <w:t xml:space="preserve"> incumbent on the domestic authorities to conduct an effective official investigation in this connection.</w:t>
      </w:r>
    </w:p>
    <w:p w:rsidR="008C47E1" w:rsidRPr="007104F2" w:rsidRDefault="008C47E1" w:rsidP="003C303C">
      <w:pPr>
        <w:pStyle w:val="JuPara"/>
        <w:rPr>
          <w:szCs w:val="24"/>
        </w:rPr>
      </w:pPr>
      <w:r w:rsidRPr="008970F4">
        <w:rPr>
          <w:szCs w:val="24"/>
        </w:rPr>
        <w:fldChar w:fldCharType="begin"/>
      </w:r>
      <w:r w:rsidRPr="00141186">
        <w:rPr>
          <w:szCs w:val="24"/>
        </w:rPr>
        <w:instrText xml:space="preserve"> SEQ level0 \*arabic </w:instrText>
      </w:r>
      <w:r w:rsidRPr="00141186">
        <w:rPr>
          <w:szCs w:val="24"/>
        </w:rPr>
        <w:fldChar w:fldCharType="separate"/>
      </w:r>
      <w:r w:rsidR="00B41E90">
        <w:rPr>
          <w:noProof/>
          <w:szCs w:val="24"/>
        </w:rPr>
        <w:t>73</w:t>
      </w:r>
      <w:r w:rsidRPr="007F5A7A">
        <w:rPr>
          <w:szCs w:val="24"/>
        </w:rPr>
        <w:fldChar w:fldCharType="end"/>
      </w:r>
      <w:r w:rsidRPr="008970F4">
        <w:rPr>
          <w:szCs w:val="24"/>
        </w:rPr>
        <w:t xml:space="preserve">.  Whilst the Court accepts that the authorities promptly reacted to the </w:t>
      </w:r>
      <w:r w:rsidRPr="003C303C">
        <w:rPr>
          <w:szCs w:val="24"/>
        </w:rPr>
        <w:t>applicant</w:t>
      </w:r>
      <w:r w:rsidR="00C5795F">
        <w:rPr>
          <w:szCs w:val="24"/>
        </w:rPr>
        <w:t>’</w:t>
      </w:r>
      <w:r w:rsidRPr="003C303C">
        <w:rPr>
          <w:szCs w:val="24"/>
        </w:rPr>
        <w:t xml:space="preserve">s complaint (see paragraphs </w:t>
      </w:r>
      <w:r w:rsidR="00C5003E">
        <w:rPr>
          <w:noProof/>
        </w:rPr>
        <w:t>20</w:t>
      </w:r>
      <w:r w:rsidRPr="003C303C">
        <w:rPr>
          <w:szCs w:val="24"/>
        </w:rPr>
        <w:t>,</w:t>
      </w:r>
      <w:r w:rsidR="00EE421B" w:rsidRPr="00141186">
        <w:rPr>
          <w:szCs w:val="24"/>
        </w:rPr>
        <w:t xml:space="preserve"> </w:t>
      </w:r>
      <w:r w:rsidR="00C5003E">
        <w:rPr>
          <w:noProof/>
        </w:rPr>
        <w:t>21</w:t>
      </w:r>
      <w:r w:rsidR="00EE421B" w:rsidRPr="00141186">
        <w:rPr>
          <w:szCs w:val="24"/>
        </w:rPr>
        <w:t xml:space="preserve"> and</w:t>
      </w:r>
      <w:r w:rsidR="00593458">
        <w:rPr>
          <w:szCs w:val="24"/>
        </w:rPr>
        <w:t xml:space="preserve"> </w:t>
      </w:r>
      <w:r w:rsidR="00C5003E">
        <w:rPr>
          <w:noProof/>
        </w:rPr>
        <w:t>26</w:t>
      </w:r>
      <w:r w:rsidR="00593458">
        <w:rPr>
          <w:szCs w:val="24"/>
        </w:rPr>
        <w:t xml:space="preserve"> </w:t>
      </w:r>
      <w:r w:rsidR="00545C8C" w:rsidRPr="003C303C">
        <w:rPr>
          <w:szCs w:val="24"/>
        </w:rPr>
        <w:t>above</w:t>
      </w:r>
      <w:r w:rsidRPr="003C303C">
        <w:rPr>
          <w:szCs w:val="24"/>
        </w:rPr>
        <w:t>), it is not</w:t>
      </w:r>
      <w:r w:rsidRPr="00AB1F89">
        <w:rPr>
          <w:szCs w:val="24"/>
        </w:rPr>
        <w:t xml:space="preserve"> convinced that the investigation was sufficiently tho</w:t>
      </w:r>
      <w:r w:rsidRPr="007104F2">
        <w:rPr>
          <w:szCs w:val="24"/>
        </w:rPr>
        <w:t>rough to meet the requirements of Article 3, for the following reasons.</w:t>
      </w:r>
    </w:p>
    <w:p w:rsidR="008C47E1" w:rsidRPr="00AB1F89" w:rsidRDefault="008C47E1" w:rsidP="00AA2E1C">
      <w:pPr>
        <w:pStyle w:val="JuPara"/>
      </w:pPr>
      <w:r w:rsidRPr="008970F4">
        <w:rPr>
          <w:szCs w:val="23"/>
        </w:rPr>
        <w:fldChar w:fldCharType="begin"/>
      </w:r>
      <w:r w:rsidRPr="00141186">
        <w:rPr>
          <w:szCs w:val="23"/>
        </w:rPr>
        <w:instrText xml:space="preserve"> SEQ level0 \*arabic </w:instrText>
      </w:r>
      <w:r w:rsidRPr="00141186">
        <w:rPr>
          <w:szCs w:val="23"/>
        </w:rPr>
        <w:fldChar w:fldCharType="separate"/>
      </w:r>
      <w:r w:rsidR="00B41E90">
        <w:rPr>
          <w:noProof/>
          <w:szCs w:val="23"/>
        </w:rPr>
        <w:t>74</w:t>
      </w:r>
      <w:r w:rsidRPr="007F5A7A">
        <w:rPr>
          <w:szCs w:val="23"/>
        </w:rPr>
        <w:fldChar w:fldCharType="end"/>
      </w:r>
      <w:r w:rsidRPr="008970F4">
        <w:rPr>
          <w:szCs w:val="23"/>
        </w:rPr>
        <w:t>.  </w:t>
      </w:r>
      <w:r w:rsidRPr="00AB1F89">
        <w:t>Firstly, the inquiry into the circumstances in which the applicant</w:t>
      </w:r>
      <w:r w:rsidR="00C5795F">
        <w:t>’</w:t>
      </w:r>
      <w:r w:rsidRPr="00AB1F89">
        <w:t>s injuries cou</w:t>
      </w:r>
      <w:r w:rsidRPr="007104F2">
        <w:t>ld have been sustained was quite limited.</w:t>
      </w:r>
      <w:r w:rsidRPr="007F5A7A">
        <w:t xml:space="preserve"> </w:t>
      </w:r>
      <w:r w:rsidRPr="007F5A7A">
        <w:rPr>
          <w:szCs w:val="23"/>
        </w:rPr>
        <w:t>The Prosecutor</w:t>
      </w:r>
      <w:r w:rsidR="00C5795F">
        <w:rPr>
          <w:szCs w:val="23"/>
        </w:rPr>
        <w:t>’</w:t>
      </w:r>
      <w:r w:rsidRPr="007F5A7A">
        <w:rPr>
          <w:szCs w:val="23"/>
        </w:rPr>
        <w:t xml:space="preserve">s Office </w:t>
      </w:r>
      <w:r w:rsidRPr="007F5A7A">
        <w:t>interviewed only one of the three police officers against whom the applicant had made his allegations.</w:t>
      </w:r>
      <w:r w:rsidRPr="003C303C">
        <w:t xml:space="preserve"> The fact that this police officer obviously had a potential interest in the outcome of the case and in exonerating himself was not taken into account.</w:t>
      </w:r>
      <w:r w:rsidRPr="003C303C">
        <w:rPr>
          <w:szCs w:val="23"/>
        </w:rPr>
        <w:t xml:space="preserve"> </w:t>
      </w:r>
      <w:r w:rsidRPr="003C303C">
        <w:t>The credibility of this officer</w:t>
      </w:r>
      <w:r w:rsidR="00C5795F">
        <w:t>’</w:t>
      </w:r>
      <w:r w:rsidR="008A634F" w:rsidRPr="00141186">
        <w:t>s</w:t>
      </w:r>
      <w:r w:rsidRPr="00141186">
        <w:t xml:space="preserve"> statements was not </w:t>
      </w:r>
      <w:r w:rsidR="007D08F2">
        <w:t>called into question</w:t>
      </w:r>
      <w:r w:rsidRPr="00AB1F89">
        <w:t>.</w:t>
      </w:r>
      <w:r w:rsidR="00AA2E1C" w:rsidRPr="007104F2">
        <w:t xml:space="preserve"> </w:t>
      </w:r>
      <w:r w:rsidR="002363A2" w:rsidRPr="007F5A7A">
        <w:t xml:space="preserve">Even though the remaining two officers were identified, the authority did not question them. </w:t>
      </w:r>
      <w:r w:rsidR="00AA2E1C" w:rsidRPr="007F5A7A">
        <w:t xml:space="preserve">Moreover, </w:t>
      </w:r>
      <w:r w:rsidR="00AA2E1C" w:rsidRPr="003C303C">
        <w:rPr>
          <w:szCs w:val="23"/>
        </w:rPr>
        <w:t>the applicant</w:t>
      </w:r>
      <w:r w:rsidR="00C5795F">
        <w:rPr>
          <w:szCs w:val="23"/>
        </w:rPr>
        <w:t>’</w:t>
      </w:r>
      <w:r w:rsidR="00AA2E1C" w:rsidRPr="003C303C">
        <w:rPr>
          <w:szCs w:val="23"/>
        </w:rPr>
        <w:t xml:space="preserve">s </w:t>
      </w:r>
      <w:r w:rsidR="002363A2" w:rsidRPr="003C303C">
        <w:rPr>
          <w:szCs w:val="23"/>
        </w:rPr>
        <w:t xml:space="preserve">request </w:t>
      </w:r>
      <w:r w:rsidR="00AA2E1C" w:rsidRPr="003C303C">
        <w:rPr>
          <w:szCs w:val="23"/>
        </w:rPr>
        <w:t xml:space="preserve">of 22 September 2004 </w:t>
      </w:r>
      <w:r w:rsidR="002363A2" w:rsidRPr="00141186">
        <w:rPr>
          <w:szCs w:val="23"/>
        </w:rPr>
        <w:t xml:space="preserve">to investigate </w:t>
      </w:r>
      <w:r w:rsidR="00AA2E1C" w:rsidRPr="00141186">
        <w:rPr>
          <w:szCs w:val="23"/>
        </w:rPr>
        <w:t xml:space="preserve">the involvement of the police officers in the events was ignored (see paragraphs </w:t>
      </w:r>
      <w:r w:rsidR="00C5003E">
        <w:rPr>
          <w:noProof/>
        </w:rPr>
        <w:t>22</w:t>
      </w:r>
      <w:r w:rsidR="00AA2E1C" w:rsidRPr="008970F4">
        <w:rPr>
          <w:szCs w:val="23"/>
        </w:rPr>
        <w:t xml:space="preserve"> and </w:t>
      </w:r>
      <w:r w:rsidR="00C5003E">
        <w:rPr>
          <w:noProof/>
        </w:rPr>
        <w:t>24</w:t>
      </w:r>
      <w:r w:rsidR="00593458">
        <w:rPr>
          <w:szCs w:val="23"/>
        </w:rPr>
        <w:t xml:space="preserve"> </w:t>
      </w:r>
      <w:r w:rsidR="00AA2E1C" w:rsidRPr="008970F4">
        <w:rPr>
          <w:szCs w:val="23"/>
        </w:rPr>
        <w:t>above).</w:t>
      </w:r>
    </w:p>
    <w:p w:rsidR="00AA2E1C" w:rsidRPr="003C303C" w:rsidRDefault="00E136CE" w:rsidP="003C303C">
      <w:pPr>
        <w:pStyle w:val="JuPara"/>
      </w:pPr>
      <w:r>
        <w:fldChar w:fldCharType="begin"/>
      </w:r>
      <w:r>
        <w:instrText xml:space="preserve"> SEQ level0 \*arabic </w:instrText>
      </w:r>
      <w:r>
        <w:fldChar w:fldCharType="separate"/>
      </w:r>
      <w:r w:rsidR="00B41E90">
        <w:rPr>
          <w:noProof/>
        </w:rPr>
        <w:t>75</w:t>
      </w:r>
      <w:r>
        <w:fldChar w:fldCharType="end"/>
      </w:r>
      <w:r>
        <w:t>.  </w:t>
      </w:r>
      <w:r w:rsidR="008C47E1" w:rsidRPr="008970F4">
        <w:t xml:space="preserve">The Court further observes that </w:t>
      </w:r>
      <w:r w:rsidR="004921C7" w:rsidRPr="00AB1F89">
        <w:t xml:space="preserve">a full </w:t>
      </w:r>
      <w:r w:rsidR="008C47E1" w:rsidRPr="007104F2">
        <w:t xml:space="preserve">investigation </w:t>
      </w:r>
      <w:r w:rsidR="004921C7" w:rsidRPr="007F5A7A">
        <w:t xml:space="preserve">of the matter </w:t>
      </w:r>
      <w:r w:rsidR="008C47E1" w:rsidRPr="007F5A7A">
        <w:t xml:space="preserve">required a meticulous comparison of the evidence in relation to specific details, as well as a series of </w:t>
      </w:r>
      <w:r w:rsidR="00C42E77" w:rsidRPr="003C303C">
        <w:t>interviews</w:t>
      </w:r>
      <w:r w:rsidR="008C47E1" w:rsidRPr="003C303C">
        <w:t xml:space="preserve"> and confrontations which were not</w:t>
      </w:r>
      <w:r w:rsidR="007D1BFF" w:rsidRPr="003C303C">
        <w:t>, in fact,</w:t>
      </w:r>
      <w:r w:rsidR="008C47E1" w:rsidRPr="003C303C">
        <w:t xml:space="preserve"> carried out. Taking into account </w:t>
      </w:r>
      <w:r w:rsidR="008C47E1" w:rsidRPr="00141186">
        <w:rPr>
          <w:color w:val="000000"/>
          <w:szCs w:val="24"/>
          <w:lang w:eastAsia="en-GB"/>
        </w:rPr>
        <w:t xml:space="preserve">the important role of investigative interviews in obtaining information from suspects, witnesses and victims and, ultimately, the discovery of the truth about the matter under investigation, the Court also notes that the investigative authorities never interviewed V., </w:t>
      </w:r>
      <w:r w:rsidR="008C47E1" w:rsidRPr="00141186">
        <w:t xml:space="preserve">the </w:t>
      </w:r>
      <w:r w:rsidR="00C42E77" w:rsidRPr="00141186">
        <w:t xml:space="preserve">officer </w:t>
      </w:r>
      <w:r w:rsidR="008C47E1" w:rsidRPr="00141186">
        <w:t xml:space="preserve">to whom the applicant </w:t>
      </w:r>
      <w:r w:rsidR="00C42E77" w:rsidRPr="00141186">
        <w:t xml:space="preserve">reported the incident </w:t>
      </w:r>
      <w:r w:rsidR="008C47E1" w:rsidRPr="00141186">
        <w:t xml:space="preserve">shortly after </w:t>
      </w:r>
      <w:r w:rsidR="00C42E77" w:rsidRPr="00141186">
        <w:t>it occurred</w:t>
      </w:r>
      <w:r w:rsidR="008C47E1" w:rsidRPr="00141186">
        <w:t xml:space="preserve"> on 27 April 2004 (see paragraph </w:t>
      </w:r>
      <w:r w:rsidR="00C5003E">
        <w:rPr>
          <w:noProof/>
        </w:rPr>
        <w:t>14</w:t>
      </w:r>
      <w:r w:rsidR="00545C8C" w:rsidRPr="008970F4">
        <w:t xml:space="preserve"> above</w:t>
      </w:r>
      <w:r w:rsidR="008C47E1" w:rsidRPr="00AB1F89">
        <w:t xml:space="preserve">), his partner L. </w:t>
      </w:r>
      <w:r w:rsidR="00C42E77" w:rsidRPr="007104F2">
        <w:t xml:space="preserve">or </w:t>
      </w:r>
      <w:r w:rsidR="008C47E1" w:rsidRPr="007F5A7A">
        <w:t xml:space="preserve">the doctors who established the </w:t>
      </w:r>
      <w:r w:rsidR="00C42E77" w:rsidRPr="007F5A7A">
        <w:t>applicant</w:t>
      </w:r>
      <w:r w:rsidR="00C5795F">
        <w:t>’</w:t>
      </w:r>
      <w:r w:rsidR="00C42E77" w:rsidRPr="007F5A7A">
        <w:t xml:space="preserve">s </w:t>
      </w:r>
      <w:r w:rsidR="008C47E1" w:rsidRPr="007F5A7A">
        <w:t>injuries</w:t>
      </w:r>
      <w:r w:rsidR="008C47E1" w:rsidRPr="003C303C">
        <w:t>.</w:t>
      </w:r>
      <w:r w:rsidR="002363A2" w:rsidRPr="003C303C">
        <w:t xml:space="preserve"> They </w:t>
      </w:r>
      <w:r w:rsidR="00A035F2">
        <w:t xml:space="preserve">also largely </w:t>
      </w:r>
      <w:r w:rsidR="00A035F2" w:rsidRPr="003C303C">
        <w:t xml:space="preserve">ignored </w:t>
      </w:r>
      <w:r w:rsidR="00A035F2" w:rsidRPr="00141186">
        <w:t>the audio and video recording of the drill</w:t>
      </w:r>
      <w:r w:rsidR="00A035F2" w:rsidRPr="003C303C">
        <w:t xml:space="preserve"> mentioned in the</w:t>
      </w:r>
      <w:r w:rsidR="00A035F2" w:rsidRPr="00AB25E5">
        <w:t xml:space="preserve"> decision of </w:t>
      </w:r>
      <w:r w:rsidR="00A035F2">
        <w:t xml:space="preserve">16 August 2004 (see paragraph </w:t>
      </w:r>
      <w:r w:rsidR="00C5003E">
        <w:rPr>
          <w:noProof/>
        </w:rPr>
        <w:t>22</w:t>
      </w:r>
      <w:r w:rsidR="00A035F2">
        <w:t xml:space="preserve"> above), having only used it indirectly for the purposes of the expert psychological report </w:t>
      </w:r>
      <w:r w:rsidR="00BB1E9B">
        <w:t xml:space="preserve">of the applicant dated </w:t>
      </w:r>
      <w:r w:rsidR="00A035F2">
        <w:t>28 January 2005 (see paragraph</w:t>
      </w:r>
      <w:r w:rsidR="00003518">
        <w:t xml:space="preserve"> </w:t>
      </w:r>
      <w:r w:rsidR="00C5003E">
        <w:rPr>
          <w:noProof/>
        </w:rPr>
        <w:t>25</w:t>
      </w:r>
      <w:r w:rsidR="00EE421B">
        <w:t xml:space="preserve"> above</w:t>
      </w:r>
      <w:r w:rsidR="00A035F2">
        <w:t xml:space="preserve">), and not, as it would have been more appropriate in the circumstances, to shed light </w:t>
      </w:r>
      <w:r w:rsidR="002363A2" w:rsidRPr="003C303C">
        <w:t xml:space="preserve">on the </w:t>
      </w:r>
      <w:r w:rsidR="00A035F2">
        <w:t xml:space="preserve">exact course of the </w:t>
      </w:r>
      <w:r w:rsidR="002363A2" w:rsidRPr="003C303C">
        <w:t>events</w:t>
      </w:r>
      <w:r w:rsidR="00A035F2">
        <w:t xml:space="preserve"> of 27 April 2004</w:t>
      </w:r>
      <w:r w:rsidR="002363A2" w:rsidRPr="003C303C">
        <w:t>.</w:t>
      </w:r>
      <w:r w:rsidR="00A035F2">
        <w:t xml:space="preserve"> In the Court</w:t>
      </w:r>
      <w:r w:rsidR="00C5795F">
        <w:t>’</w:t>
      </w:r>
      <w:r w:rsidR="00A035F2">
        <w:t>s view, this</w:t>
      </w:r>
      <w:r w:rsidR="00003518">
        <w:t xml:space="preserve"> central</w:t>
      </w:r>
      <w:r w:rsidR="00A035F2">
        <w:t xml:space="preserve"> piece of evidence, which was otherwise never mentioned </w:t>
      </w:r>
      <w:r w:rsidR="00EE421B">
        <w:t xml:space="preserve">in the final legal acts </w:t>
      </w:r>
      <w:r w:rsidR="00003518">
        <w:t xml:space="preserve">(see paragraphs </w:t>
      </w:r>
      <w:r w:rsidR="00C5003E">
        <w:rPr>
          <w:noProof/>
        </w:rPr>
        <w:t>30</w:t>
      </w:r>
      <w:r w:rsidR="00EE421B">
        <w:t xml:space="preserve"> and </w:t>
      </w:r>
      <w:r w:rsidR="00C5003E">
        <w:rPr>
          <w:noProof/>
        </w:rPr>
        <w:t>31</w:t>
      </w:r>
      <w:r w:rsidR="00EE421B">
        <w:t xml:space="preserve"> above</w:t>
      </w:r>
      <w:r w:rsidR="00003518">
        <w:t>)</w:t>
      </w:r>
      <w:r w:rsidR="00A035F2">
        <w:t xml:space="preserve">, </w:t>
      </w:r>
      <w:r w:rsidR="00003518">
        <w:t xml:space="preserve">could have </w:t>
      </w:r>
      <w:r w:rsidR="00A035F2">
        <w:t xml:space="preserve">potentially </w:t>
      </w:r>
      <w:r w:rsidR="00003518">
        <w:t>proved or disproved</w:t>
      </w:r>
      <w:r w:rsidR="00A035F2">
        <w:t xml:space="preserve"> the applicant</w:t>
      </w:r>
      <w:r w:rsidR="00C5795F">
        <w:t>’</w:t>
      </w:r>
      <w:r w:rsidR="00A035F2">
        <w:t>s allegations.</w:t>
      </w:r>
    </w:p>
    <w:p w:rsidR="008C47E1" w:rsidRPr="007F5A7A" w:rsidRDefault="00AA2E1C" w:rsidP="008C47E1">
      <w:pPr>
        <w:pStyle w:val="JuPara"/>
      </w:pPr>
      <w:r w:rsidRPr="008970F4">
        <w:fldChar w:fldCharType="begin"/>
      </w:r>
      <w:r w:rsidRPr="00141186">
        <w:instrText xml:space="preserve"> SEQ level0 \*arabic </w:instrText>
      </w:r>
      <w:r w:rsidRPr="00141186">
        <w:fldChar w:fldCharType="separate"/>
      </w:r>
      <w:r w:rsidR="00B41E90">
        <w:rPr>
          <w:noProof/>
        </w:rPr>
        <w:t>76</w:t>
      </w:r>
      <w:r w:rsidRPr="007F5A7A">
        <w:fldChar w:fldCharType="end"/>
      </w:r>
      <w:r w:rsidRPr="008970F4">
        <w:t>.  </w:t>
      </w:r>
      <w:r w:rsidR="008C47E1" w:rsidRPr="00AB1F89">
        <w:t>It should also be noted that the Prosecutor</w:t>
      </w:r>
      <w:r w:rsidR="00C5795F">
        <w:t>’</w:t>
      </w:r>
      <w:r w:rsidR="008C47E1" w:rsidRPr="00AB1F89">
        <w:t xml:space="preserve">s Office did not </w:t>
      </w:r>
      <w:r w:rsidR="00C42E77" w:rsidRPr="007104F2">
        <w:t>investigate the us</w:t>
      </w:r>
      <w:r w:rsidR="00C42E77" w:rsidRPr="007F5A7A">
        <w:t xml:space="preserve">e </w:t>
      </w:r>
      <w:r w:rsidR="008C47E1" w:rsidRPr="007F5A7A">
        <w:t xml:space="preserve">of physical force against the applicant when he </w:t>
      </w:r>
      <w:r w:rsidR="004921C7" w:rsidRPr="007F5A7A">
        <w:t>was</w:t>
      </w:r>
      <w:r w:rsidR="008C47E1" w:rsidRPr="003C303C">
        <w:t xml:space="preserve"> pushed into the car, </w:t>
      </w:r>
      <w:r w:rsidR="00C66D11" w:rsidRPr="003C303C">
        <w:t>a fact</w:t>
      </w:r>
      <w:r w:rsidR="008C47E1" w:rsidRPr="003C303C">
        <w:t xml:space="preserve"> which was </w:t>
      </w:r>
      <w:r w:rsidR="008C47E1" w:rsidRPr="00141186">
        <w:t>confi</w:t>
      </w:r>
      <w:r w:rsidR="00141186">
        <w:t>rmed by the police report of 27 </w:t>
      </w:r>
      <w:r w:rsidR="008C47E1" w:rsidRPr="00141186">
        <w:t xml:space="preserve">April 2004 (see paragraph </w:t>
      </w:r>
      <w:r w:rsidR="00C5003E">
        <w:rPr>
          <w:noProof/>
        </w:rPr>
        <w:t>20</w:t>
      </w:r>
      <w:r w:rsidR="00545C8C" w:rsidRPr="008970F4">
        <w:t xml:space="preserve"> above</w:t>
      </w:r>
      <w:r w:rsidR="008C47E1" w:rsidRPr="00AB1F89">
        <w:t xml:space="preserve">). </w:t>
      </w:r>
      <w:r w:rsidR="008C47E1" w:rsidRPr="007104F2">
        <w:t>The Court thus considers that the inquiry into</w:t>
      </w:r>
      <w:r w:rsidR="008C47E1" w:rsidRPr="007F5A7A">
        <w:t xml:space="preserve"> his allegations of ill-treatment </w:t>
      </w:r>
      <w:r w:rsidR="00C66D11" w:rsidRPr="007F5A7A">
        <w:t xml:space="preserve">was </w:t>
      </w:r>
      <w:r w:rsidR="008C47E1" w:rsidRPr="007F5A7A">
        <w:t>superficial and formalistic.</w:t>
      </w:r>
    </w:p>
    <w:p w:rsidR="008C47E1" w:rsidRPr="00141186" w:rsidRDefault="008C47E1" w:rsidP="008C47E1">
      <w:pPr>
        <w:pStyle w:val="JuPara"/>
      </w:pPr>
      <w:r w:rsidRPr="008970F4">
        <w:rPr>
          <w:szCs w:val="23"/>
        </w:rPr>
        <w:fldChar w:fldCharType="begin"/>
      </w:r>
      <w:r w:rsidRPr="00141186">
        <w:rPr>
          <w:szCs w:val="23"/>
        </w:rPr>
        <w:instrText xml:space="preserve"> SEQ level0 \*arabic </w:instrText>
      </w:r>
      <w:r w:rsidRPr="00141186">
        <w:rPr>
          <w:szCs w:val="23"/>
        </w:rPr>
        <w:fldChar w:fldCharType="separate"/>
      </w:r>
      <w:r w:rsidR="00B41E90">
        <w:rPr>
          <w:noProof/>
          <w:szCs w:val="23"/>
        </w:rPr>
        <w:t>77</w:t>
      </w:r>
      <w:r w:rsidRPr="007F5A7A">
        <w:rPr>
          <w:szCs w:val="23"/>
        </w:rPr>
        <w:fldChar w:fldCharType="end"/>
      </w:r>
      <w:r w:rsidRPr="008970F4">
        <w:rPr>
          <w:szCs w:val="23"/>
        </w:rPr>
        <w:t>.  </w:t>
      </w:r>
      <w:r w:rsidRPr="00AB1F89">
        <w:t>Lastly, the Court takes note of the</w:t>
      </w:r>
      <w:r w:rsidR="00A0034D">
        <w:t xml:space="preserve"> final</w:t>
      </w:r>
      <w:r w:rsidRPr="00AB1F89">
        <w:t xml:space="preserve"> legal decision which summarised the findings of the </w:t>
      </w:r>
      <w:r w:rsidRPr="007104F2">
        <w:t>investigation (see paragraph</w:t>
      </w:r>
      <w:r w:rsidR="00A0034D">
        <w:t xml:space="preserve"> </w:t>
      </w:r>
      <w:r w:rsidR="00C5003E">
        <w:rPr>
          <w:noProof/>
        </w:rPr>
        <w:t>28</w:t>
      </w:r>
      <w:r w:rsidRPr="008970F4">
        <w:t xml:space="preserve"> </w:t>
      </w:r>
      <w:r w:rsidR="00545C8C" w:rsidRPr="008970F4">
        <w:t>above</w:t>
      </w:r>
      <w:r w:rsidRPr="00AB1F89">
        <w:t>)</w:t>
      </w:r>
      <w:r w:rsidR="00C66D11" w:rsidRPr="007104F2">
        <w:t>,</w:t>
      </w:r>
      <w:r w:rsidRPr="007F5A7A">
        <w:t xml:space="preserve"> as well as the court decisions given in the present case (see paragraphs </w:t>
      </w:r>
      <w:r w:rsidR="00C5003E">
        <w:rPr>
          <w:noProof/>
        </w:rPr>
        <w:t>30</w:t>
      </w:r>
      <w:r w:rsidRPr="008970F4">
        <w:t xml:space="preserve"> and </w:t>
      </w:r>
      <w:r w:rsidR="00C5003E">
        <w:rPr>
          <w:noProof/>
        </w:rPr>
        <w:t>31</w:t>
      </w:r>
      <w:r w:rsidR="00545C8C" w:rsidRPr="008970F4">
        <w:t xml:space="preserve"> above</w:t>
      </w:r>
      <w:r w:rsidRPr="00AB1F89">
        <w:t>). The authorities</w:t>
      </w:r>
      <w:r w:rsidR="00C5795F">
        <w:t>’</w:t>
      </w:r>
      <w:r w:rsidRPr="00AB1F89">
        <w:t xml:space="preserve"> refusal to admit the applicant</w:t>
      </w:r>
      <w:r w:rsidR="00C5795F">
        <w:t>’</w:t>
      </w:r>
      <w:r w:rsidRPr="00AB1F89">
        <w:t>s medical records as evidence of the</w:t>
      </w:r>
      <w:r w:rsidRPr="007104F2">
        <w:t xml:space="preserve"> alleged ill-treatment was apparently </w:t>
      </w:r>
      <w:r w:rsidR="00C66D11" w:rsidRPr="007F5A7A">
        <w:t xml:space="preserve">unfounded </w:t>
      </w:r>
      <w:r w:rsidRPr="007F5A7A">
        <w:t xml:space="preserve">as there </w:t>
      </w:r>
      <w:r w:rsidR="00C66D11" w:rsidRPr="007F5A7A">
        <w:t>were</w:t>
      </w:r>
      <w:r w:rsidRPr="003C303C">
        <w:t xml:space="preserve"> no sound reasons for </w:t>
      </w:r>
      <w:r w:rsidR="00C66D11" w:rsidRPr="003C303C">
        <w:t>such refusal</w:t>
      </w:r>
      <w:r w:rsidRPr="003C303C">
        <w:t xml:space="preserve">, taking into account </w:t>
      </w:r>
      <w:r w:rsidR="00C66D11" w:rsidRPr="00141186">
        <w:t>the fact that the medical records were subsequently found to be genuine</w:t>
      </w:r>
      <w:r w:rsidR="00AA2E1C" w:rsidRPr="00141186">
        <w:t xml:space="preserve"> (see paragraph </w:t>
      </w:r>
      <w:r w:rsidR="00C5003E">
        <w:rPr>
          <w:noProof/>
        </w:rPr>
        <w:t>3</w:t>
      </w:r>
      <w:r w:rsidR="007A357A">
        <w:rPr>
          <w:noProof/>
        </w:rPr>
        <w:t>2</w:t>
      </w:r>
      <w:r w:rsidR="00AA2E1C" w:rsidRPr="008970F4">
        <w:t xml:space="preserve"> above)</w:t>
      </w:r>
      <w:r w:rsidRPr="00AB1F89">
        <w:t>. T</w:t>
      </w:r>
      <w:r w:rsidR="00AA2E1C" w:rsidRPr="007104F2">
        <w:t>o sum up, t</w:t>
      </w:r>
      <w:r w:rsidRPr="007F5A7A">
        <w:t xml:space="preserve">he authorities failed to offer any plausible alternative explanation </w:t>
      </w:r>
      <w:r w:rsidR="00C66D11" w:rsidRPr="003C303C">
        <w:t xml:space="preserve">for </w:t>
      </w:r>
      <w:r w:rsidRPr="003C303C">
        <w:t>the applicant</w:t>
      </w:r>
      <w:r w:rsidR="00C5795F">
        <w:t>’</w:t>
      </w:r>
      <w:r w:rsidRPr="003C303C">
        <w:t xml:space="preserve">s injuries (see </w:t>
      </w:r>
      <w:r w:rsidRPr="003C303C">
        <w:rPr>
          <w:i/>
          <w:szCs w:val="22"/>
          <w:lang w:eastAsia="en-US"/>
        </w:rPr>
        <w:t xml:space="preserve">Nechto </w:t>
      </w:r>
      <w:r w:rsidRPr="00141186">
        <w:rPr>
          <w:i/>
          <w:lang w:eastAsia="en-US"/>
        </w:rPr>
        <w:t>v. Russia</w:t>
      </w:r>
      <w:r w:rsidRPr="00141186">
        <w:rPr>
          <w:lang w:eastAsia="en-US"/>
        </w:rPr>
        <w:t>, no. 24893/05</w:t>
      </w:r>
      <w:r w:rsidRPr="00141186">
        <w:rPr>
          <w:snapToGrid w:val="0"/>
          <w:szCs w:val="24"/>
          <w:lang w:val="pt-BR" w:eastAsia="en-US"/>
        </w:rPr>
        <w:t>, § 90, 24 January 2012</w:t>
      </w:r>
      <w:r w:rsidR="000E4FA9" w:rsidRPr="00141186">
        <w:rPr>
          <w:snapToGrid w:val="0"/>
          <w:szCs w:val="24"/>
          <w:lang w:val="pt-BR" w:eastAsia="en-US"/>
        </w:rPr>
        <w:t>;</w:t>
      </w:r>
      <w:r w:rsidRPr="00141186">
        <w:rPr>
          <w:snapToGrid w:val="0"/>
          <w:szCs w:val="24"/>
          <w:lang w:val="pt-BR" w:eastAsia="en-US"/>
        </w:rPr>
        <w:t xml:space="preserve"> and </w:t>
      </w:r>
      <w:r w:rsidRPr="00141186">
        <w:rPr>
          <w:i/>
          <w:szCs w:val="22"/>
          <w:lang w:eastAsia="en-US"/>
        </w:rPr>
        <w:t xml:space="preserve">Vanfuli </w:t>
      </w:r>
      <w:r w:rsidRPr="00141186">
        <w:rPr>
          <w:i/>
          <w:lang w:eastAsia="en-US"/>
        </w:rPr>
        <w:t>v. Russia</w:t>
      </w:r>
      <w:r w:rsidRPr="00141186">
        <w:rPr>
          <w:lang w:eastAsia="en-US"/>
        </w:rPr>
        <w:t>, no. 24885/05</w:t>
      </w:r>
      <w:r w:rsidRPr="00141186">
        <w:rPr>
          <w:snapToGrid w:val="0"/>
          <w:szCs w:val="24"/>
          <w:lang w:val="pt-BR" w:eastAsia="en-US"/>
        </w:rPr>
        <w:t>, § 82, 3 November 2011).</w:t>
      </w:r>
    </w:p>
    <w:p w:rsidR="008C47E1" w:rsidRDefault="008C47E1" w:rsidP="008C47E1">
      <w:pPr>
        <w:pStyle w:val="JuPara"/>
      </w:pPr>
      <w:r w:rsidRPr="008970F4">
        <w:fldChar w:fldCharType="begin"/>
      </w:r>
      <w:r w:rsidRPr="00141186">
        <w:instrText xml:space="preserve"> SEQ level0 \*arabic </w:instrText>
      </w:r>
      <w:r w:rsidRPr="00141186">
        <w:fldChar w:fldCharType="separate"/>
      </w:r>
      <w:r w:rsidR="00B41E90">
        <w:rPr>
          <w:noProof/>
        </w:rPr>
        <w:t>78</w:t>
      </w:r>
      <w:r w:rsidRPr="007F5A7A">
        <w:fldChar w:fldCharType="end"/>
      </w:r>
      <w:r w:rsidRPr="008970F4">
        <w:t>.  Th</w:t>
      </w:r>
      <w:r w:rsidRPr="00AB1F89">
        <w:t>e foregoing considerations are sufficient to enable the Court to conclude that the investigation into the applicant</w:t>
      </w:r>
      <w:r w:rsidR="00C5795F">
        <w:t>’</w:t>
      </w:r>
      <w:r w:rsidRPr="00AB1F89">
        <w:t>s complaint of ill</w:t>
      </w:r>
      <w:r w:rsidRPr="00AB1F89">
        <w:noBreakHyphen/>
        <w:t>treatment cannot be considered to have been “effective”. There has therefore been a violation of Article 3 of the Convent</w:t>
      </w:r>
      <w:r w:rsidRPr="007104F2">
        <w:t>ion under its procedural limb.</w:t>
      </w:r>
    </w:p>
    <w:p w:rsidR="008C47E1" w:rsidRDefault="00B526B3" w:rsidP="008C47E1">
      <w:pPr>
        <w:pStyle w:val="JuHIRoman"/>
        <w:rPr>
          <w:rStyle w:val="sb8d990e2"/>
        </w:rPr>
      </w:pPr>
      <w:r>
        <w:rPr>
          <w:rStyle w:val="sb8d990e2"/>
        </w:rPr>
        <w:t>II.  </w:t>
      </w:r>
      <w:r w:rsidR="008C47E1">
        <w:rPr>
          <w:rStyle w:val="sb8d990e2"/>
        </w:rPr>
        <w:t xml:space="preserve">ALLEGED VIOLATION OF </w:t>
      </w:r>
      <w:r w:rsidR="008C47E1">
        <w:rPr>
          <w:rStyle w:val="wordhighlighted"/>
        </w:rPr>
        <w:t>ARTICLE 13</w:t>
      </w:r>
      <w:r w:rsidR="008C47E1">
        <w:rPr>
          <w:rStyle w:val="sb8d990e2"/>
        </w:rPr>
        <w:t xml:space="preserve"> OF THE CONVENTION</w:t>
      </w:r>
    </w:p>
    <w:p w:rsidR="008C47E1" w:rsidRDefault="008C47E1" w:rsidP="008C47E1">
      <w:pPr>
        <w:pStyle w:val="JuPara"/>
      </w:pPr>
      <w:r>
        <w:fldChar w:fldCharType="begin"/>
      </w:r>
      <w:r>
        <w:instrText xml:space="preserve"> SEQ level0 \*arabic </w:instrText>
      </w:r>
      <w:r>
        <w:fldChar w:fldCharType="separate"/>
      </w:r>
      <w:r w:rsidR="00B41E90">
        <w:rPr>
          <w:noProof/>
        </w:rPr>
        <w:t>79</w:t>
      </w:r>
      <w:r>
        <w:fldChar w:fldCharType="end"/>
      </w:r>
      <w:r>
        <w:t>.  The applicant complained that the investigation into his allegations of ill-treatment had been ineffective, contrary to Article 13 of the Convention, which provides:</w:t>
      </w:r>
    </w:p>
    <w:p w:rsidR="008C47E1" w:rsidRDefault="008C47E1" w:rsidP="008C47E1">
      <w:pPr>
        <w:pStyle w:val="JuQuot"/>
      </w:pPr>
      <w:r>
        <w:t>“Everyone whose rights and freedoms as set forth in [the] Convention are violated shall have an effective remedy before a national authority notwithstanding that the violation has been committed by persons acting in an official capacity.”</w:t>
      </w:r>
    </w:p>
    <w:p w:rsidR="008C47E1" w:rsidRPr="009D380A" w:rsidRDefault="008C47E1" w:rsidP="008970F4">
      <w:pPr>
        <w:pStyle w:val="JuPara"/>
        <w:rPr>
          <w:i/>
          <w:lang w:eastAsia="en-US"/>
        </w:rPr>
      </w:pPr>
      <w:r>
        <w:fldChar w:fldCharType="begin"/>
      </w:r>
      <w:r>
        <w:instrText xml:space="preserve"> SEQ level0 \*arabic </w:instrText>
      </w:r>
      <w:r>
        <w:fldChar w:fldCharType="separate"/>
      </w:r>
      <w:r w:rsidR="00B41E90">
        <w:rPr>
          <w:noProof/>
        </w:rPr>
        <w:t>80</w:t>
      </w:r>
      <w:r>
        <w:fldChar w:fldCharType="end"/>
      </w:r>
      <w:r>
        <w:t xml:space="preserve">.  The Court observes that this complaint concerns the same issues as those examined above under the procedural limb of Article 3 of the Convention. Therefore, the complaint should be declared admissible. However, having regard to its conclusion above under Article 3 of the Convention, the Court considers it unnecessary to examine those issues separately under Article 13 of the Convention (see, for example, </w:t>
      </w:r>
      <w:r w:rsidRPr="00DA421F">
        <w:rPr>
          <w:i/>
        </w:rPr>
        <w:t>Bekos and Koutropoulos v. Greece</w:t>
      </w:r>
      <w:r>
        <w:t>, no. 15250/02, § 57, ECHR 2005</w:t>
      </w:r>
      <w:r>
        <w:noBreakHyphen/>
        <w:t>XIII (extracts);</w:t>
      </w:r>
      <w:r w:rsidR="00AC3BFA">
        <w:t xml:space="preserve"> </w:t>
      </w:r>
      <w:r w:rsidR="00AC3BFA" w:rsidRPr="00877D62">
        <w:rPr>
          <w:i/>
        </w:rPr>
        <w:t>Polonskiy v. Russia</w:t>
      </w:r>
      <w:r w:rsidR="00AC3BFA">
        <w:t>, cited above, § 127</w:t>
      </w:r>
      <w:r>
        <w:t xml:space="preserve">; </w:t>
      </w:r>
      <w:r w:rsidR="00C66D11" w:rsidRPr="000D6238">
        <w:rPr>
          <w:i/>
          <w:lang w:eastAsia="en-US"/>
        </w:rPr>
        <w:t>Sherstobitov v. Russia</w:t>
      </w:r>
      <w:r w:rsidR="00141186">
        <w:t>, no. </w:t>
      </w:r>
      <w:r>
        <w:t>16266/03, § 94, 10 June 2010</w:t>
      </w:r>
      <w:r w:rsidR="00C66D11">
        <w:t xml:space="preserve">; and </w:t>
      </w:r>
      <w:r w:rsidRPr="009D380A">
        <w:rPr>
          <w:i/>
          <w:lang w:eastAsia="en-US"/>
        </w:rPr>
        <w:t xml:space="preserve">Suleymanov </w:t>
      </w:r>
      <w:r w:rsidRPr="009D380A">
        <w:rPr>
          <w:i/>
          <w:szCs w:val="22"/>
          <w:lang w:eastAsia="en-US"/>
        </w:rPr>
        <w:t>v. Russia</w:t>
      </w:r>
      <w:r w:rsidRPr="009D380A">
        <w:rPr>
          <w:szCs w:val="22"/>
          <w:lang w:eastAsia="en-US"/>
        </w:rPr>
        <w:t>, no. 32501/11</w:t>
      </w:r>
      <w:r>
        <w:rPr>
          <w:lang w:val="pt-BR" w:eastAsia="en-US"/>
        </w:rPr>
        <w:t>, § 157</w:t>
      </w:r>
      <w:r w:rsidRPr="009D380A">
        <w:rPr>
          <w:lang w:val="pt-BR" w:eastAsia="en-US"/>
        </w:rPr>
        <w:t>, 22 January 2013</w:t>
      </w:r>
      <w:r>
        <w:t>).</w:t>
      </w:r>
    </w:p>
    <w:p w:rsidR="008C47E1" w:rsidRPr="00E246A6" w:rsidRDefault="008C47E1" w:rsidP="008C47E1">
      <w:pPr>
        <w:pStyle w:val="JuHIRoman"/>
      </w:pPr>
      <w:r>
        <w:t>III</w:t>
      </w:r>
      <w:r w:rsidRPr="00E246A6">
        <w:t>.  APPLICATION OF ARTICLE 41 OF THE CONVENTION</w:t>
      </w:r>
    </w:p>
    <w:p w:rsidR="008C47E1" w:rsidRPr="00E246A6" w:rsidRDefault="008C47E1" w:rsidP="009204E1">
      <w:pPr>
        <w:pStyle w:val="JuPara"/>
      </w:pPr>
      <w:r>
        <w:fldChar w:fldCharType="begin"/>
      </w:r>
      <w:r>
        <w:instrText xml:space="preserve"> SEQ level0 \*arabic </w:instrText>
      </w:r>
      <w:r>
        <w:fldChar w:fldCharType="separate"/>
      </w:r>
      <w:r w:rsidR="00B41E90">
        <w:rPr>
          <w:noProof/>
        </w:rPr>
        <w:t>81</w:t>
      </w:r>
      <w:r>
        <w:fldChar w:fldCharType="end"/>
      </w:r>
      <w:r>
        <w:t>.  </w:t>
      </w:r>
      <w:r w:rsidRPr="00E246A6">
        <w:t>Article 41 of the Convention provides:</w:t>
      </w:r>
    </w:p>
    <w:p w:rsidR="008C47E1" w:rsidRPr="00E246A6" w:rsidRDefault="008C47E1" w:rsidP="009204E1">
      <w:pPr>
        <w:pStyle w:val="JuQuot"/>
      </w:pPr>
      <w:r w:rsidRPr="00E246A6">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8C47E1" w:rsidRPr="00E246A6" w:rsidRDefault="008C47E1" w:rsidP="009204E1">
      <w:pPr>
        <w:pStyle w:val="JuHA"/>
        <w:keepNext w:val="0"/>
        <w:keepLines w:val="0"/>
        <w:outlineLvl w:val="0"/>
      </w:pPr>
      <w:r w:rsidRPr="00E246A6">
        <w:t>A.  Damage</w:t>
      </w:r>
    </w:p>
    <w:p w:rsidR="008C47E1" w:rsidRPr="00E246A6" w:rsidRDefault="008C47E1" w:rsidP="008C47E1">
      <w:pPr>
        <w:pStyle w:val="JuPara"/>
      </w:pPr>
      <w:r>
        <w:fldChar w:fldCharType="begin"/>
      </w:r>
      <w:r>
        <w:instrText xml:space="preserve"> SEQ level0 \*arabic </w:instrText>
      </w:r>
      <w:r>
        <w:fldChar w:fldCharType="separate"/>
      </w:r>
      <w:r w:rsidR="00B41E90">
        <w:rPr>
          <w:noProof/>
        </w:rPr>
        <w:t>82</w:t>
      </w:r>
      <w:r>
        <w:fldChar w:fldCharType="end"/>
      </w:r>
      <w:r>
        <w:t>.  </w:t>
      </w:r>
      <w:r w:rsidRPr="00E246A6">
        <w:t xml:space="preserve">The applicant claimed </w:t>
      </w:r>
      <w:r>
        <w:t xml:space="preserve">30,000 </w:t>
      </w:r>
      <w:r w:rsidRPr="00E246A6">
        <w:t>euro</w:t>
      </w:r>
      <w:r w:rsidR="00C66D11">
        <w:t>s</w:t>
      </w:r>
      <w:r w:rsidRPr="00E246A6">
        <w:t xml:space="preserve"> (EUR) in respect of pecuniary </w:t>
      </w:r>
      <w:r>
        <w:t xml:space="preserve">damage </w:t>
      </w:r>
      <w:r w:rsidR="00AE1954">
        <w:t xml:space="preserve">on account of his alleged inability to work </w:t>
      </w:r>
      <w:r>
        <w:t xml:space="preserve">and 35,000 </w:t>
      </w:r>
      <w:r w:rsidRPr="00E246A6">
        <w:t>euro</w:t>
      </w:r>
      <w:r w:rsidR="00C66D11">
        <w:t>s</w:t>
      </w:r>
      <w:r w:rsidRPr="00E246A6">
        <w:t xml:space="preserve"> (EUR) in respect of </w:t>
      </w:r>
      <w:r>
        <w:t>non-</w:t>
      </w:r>
      <w:r w:rsidRPr="00E246A6">
        <w:t>pecuniary</w:t>
      </w:r>
      <w:r>
        <w:t xml:space="preserve"> damage.</w:t>
      </w:r>
    </w:p>
    <w:p w:rsidR="008C47E1" w:rsidRPr="00B526B3" w:rsidRDefault="008C47E1" w:rsidP="008C47E1">
      <w:pPr>
        <w:pStyle w:val="JuPara"/>
      </w:pPr>
      <w:r w:rsidRPr="00141186">
        <w:fldChar w:fldCharType="begin"/>
      </w:r>
      <w:r w:rsidRPr="00141186">
        <w:instrText xml:space="preserve"> SEQ level0 \*arabic </w:instrText>
      </w:r>
      <w:r w:rsidRPr="00141186">
        <w:fldChar w:fldCharType="separate"/>
      </w:r>
      <w:r w:rsidR="00B41E90">
        <w:rPr>
          <w:noProof/>
        </w:rPr>
        <w:t>83</w:t>
      </w:r>
      <w:r w:rsidRPr="00141186">
        <w:fldChar w:fldCharType="end"/>
      </w:r>
      <w:r w:rsidRPr="00B526B3">
        <w:t>.</w:t>
      </w:r>
      <w:r w:rsidR="00B526B3" w:rsidRPr="00B526B3">
        <w:t>  </w:t>
      </w:r>
      <w:r w:rsidRPr="00141186">
        <w:t xml:space="preserve">The Government </w:t>
      </w:r>
      <w:r w:rsidR="003B0120" w:rsidRPr="00141186">
        <w:t>disagreed with these claims and regarded them as excessive</w:t>
      </w:r>
      <w:r w:rsidRPr="00141186">
        <w:t>.</w:t>
      </w:r>
    </w:p>
    <w:p w:rsidR="00122C5F" w:rsidRDefault="008C47E1" w:rsidP="008C47E1">
      <w:pPr>
        <w:pStyle w:val="JuPara"/>
      </w:pPr>
      <w:r>
        <w:fldChar w:fldCharType="begin"/>
      </w:r>
      <w:r>
        <w:instrText xml:space="preserve"> SEQ level0 \*arabic </w:instrText>
      </w:r>
      <w:r>
        <w:fldChar w:fldCharType="separate"/>
      </w:r>
      <w:r w:rsidR="00B41E90">
        <w:rPr>
          <w:noProof/>
        </w:rPr>
        <w:t>84</w:t>
      </w:r>
      <w:r>
        <w:fldChar w:fldCharType="end"/>
      </w:r>
      <w:r>
        <w:t>.  The Court does not find any causal link between the alleged pecuniary losses and the violations found. It therefore dismisses the applicant</w:t>
      </w:r>
      <w:r w:rsidR="00C5795F">
        <w:t>’</w:t>
      </w:r>
      <w:r>
        <w:t xml:space="preserve">s pecuniary claim. As regards his claim in respect of </w:t>
      </w:r>
      <w:r w:rsidR="001A13D0">
        <w:t>non</w:t>
      </w:r>
      <w:r w:rsidR="001A13D0">
        <w:noBreakHyphen/>
        <w:t>pecuniary damage, the Court, m</w:t>
      </w:r>
      <w:r>
        <w:t>aking an assessment on an equitable basis, awards the applicant EUR </w:t>
      </w:r>
      <w:r w:rsidR="006C332E">
        <w:t>27</w:t>
      </w:r>
      <w:r>
        <w:t>,</w:t>
      </w:r>
      <w:r w:rsidR="007D08F2">
        <w:t>5</w:t>
      </w:r>
      <w:r>
        <w:t>00 in respect of non-pecuniary damage, plus any tax that may be chargeable.</w:t>
      </w:r>
    </w:p>
    <w:p w:rsidR="008C47E1" w:rsidRPr="00E246A6" w:rsidRDefault="008C47E1" w:rsidP="008C47E1">
      <w:pPr>
        <w:pStyle w:val="JuHA"/>
        <w:outlineLvl w:val="0"/>
      </w:pPr>
      <w:r w:rsidRPr="00E246A6">
        <w:t>B.  Costs and expenses</w:t>
      </w:r>
    </w:p>
    <w:p w:rsidR="008C47E1" w:rsidRPr="00E246A6" w:rsidRDefault="008C47E1" w:rsidP="00C5795F">
      <w:pPr>
        <w:pStyle w:val="JuPara"/>
      </w:pPr>
      <w:r>
        <w:fldChar w:fldCharType="begin"/>
      </w:r>
      <w:r>
        <w:instrText xml:space="preserve"> SEQ level0 \*arabic </w:instrText>
      </w:r>
      <w:r>
        <w:fldChar w:fldCharType="separate"/>
      </w:r>
      <w:r w:rsidR="00B41E90">
        <w:rPr>
          <w:noProof/>
        </w:rPr>
        <w:t>85</w:t>
      </w:r>
      <w:r>
        <w:fldChar w:fldCharType="end"/>
      </w:r>
      <w:r>
        <w:t>.  </w:t>
      </w:r>
      <w:r w:rsidRPr="00E246A6">
        <w:t xml:space="preserve">The applicant also claimed EUR </w:t>
      </w:r>
      <w:r>
        <w:t>12,958</w:t>
      </w:r>
      <w:r w:rsidRPr="00E246A6">
        <w:t xml:space="preserve"> for </w:t>
      </w:r>
      <w:r>
        <w:t xml:space="preserve">legal </w:t>
      </w:r>
      <w:r w:rsidRPr="00E246A6">
        <w:t xml:space="preserve">costs and </w:t>
      </w:r>
      <w:r>
        <w:t xml:space="preserve">postal </w:t>
      </w:r>
      <w:r w:rsidRPr="00E246A6">
        <w:t>expenses incurred before the Court.</w:t>
      </w:r>
    </w:p>
    <w:p w:rsidR="008C47E1" w:rsidRDefault="008C47E1" w:rsidP="00C5795F">
      <w:pPr>
        <w:pStyle w:val="JuPara"/>
      </w:pPr>
      <w:r w:rsidRPr="00141186">
        <w:fldChar w:fldCharType="begin"/>
      </w:r>
      <w:r w:rsidRPr="00141186">
        <w:instrText xml:space="preserve"> SEQ level0 \*arabic </w:instrText>
      </w:r>
      <w:r w:rsidRPr="00141186">
        <w:fldChar w:fldCharType="separate"/>
      </w:r>
      <w:r w:rsidR="00B41E90">
        <w:rPr>
          <w:noProof/>
        </w:rPr>
        <w:t>86</w:t>
      </w:r>
      <w:r w:rsidRPr="00141186">
        <w:fldChar w:fldCharType="end"/>
      </w:r>
      <w:r w:rsidRPr="00141186">
        <w:t xml:space="preserve">.  The Government </w:t>
      </w:r>
      <w:r w:rsidR="003B0120">
        <w:t>contested</w:t>
      </w:r>
      <w:r w:rsidR="003B0120" w:rsidRPr="00141186">
        <w:t xml:space="preserve"> these claims as unsubstantiated</w:t>
      </w:r>
      <w:r w:rsidRPr="00141186">
        <w:t>.</w:t>
      </w:r>
    </w:p>
    <w:p w:rsidR="00141186" w:rsidRDefault="008C47E1" w:rsidP="00C5795F">
      <w:pPr>
        <w:pStyle w:val="JuPara"/>
      </w:pPr>
      <w:r>
        <w:rPr>
          <w:color w:val="000000"/>
        </w:rPr>
        <w:fldChar w:fldCharType="begin"/>
      </w:r>
      <w:r>
        <w:rPr>
          <w:color w:val="000000"/>
        </w:rPr>
        <w:instrText xml:space="preserve"> SEQ level0 \*arabic </w:instrText>
      </w:r>
      <w:r>
        <w:rPr>
          <w:color w:val="000000"/>
        </w:rPr>
        <w:fldChar w:fldCharType="separate"/>
      </w:r>
      <w:r w:rsidR="00B41E90">
        <w:rPr>
          <w:noProof/>
          <w:color w:val="000000"/>
        </w:rPr>
        <w:t>87</w:t>
      </w:r>
      <w:r>
        <w:rPr>
          <w:color w:val="000000"/>
        </w:rPr>
        <w:fldChar w:fldCharType="end"/>
      </w:r>
      <w:r>
        <w:rPr>
          <w:color w:val="000000"/>
        </w:rPr>
        <w:t>.  </w:t>
      </w:r>
      <w:r>
        <w:t>According to the Court</w:t>
      </w:r>
      <w:r w:rsidR="00C5795F">
        <w:t>’</w:t>
      </w:r>
      <w:r>
        <w:t>s case-law, an applicant is entitled to the reimbursement of costs and expenses only in so far as it has been shown that these have been actually and necessarily incurred and are reasonable as to quantum.</w:t>
      </w:r>
    </w:p>
    <w:p w:rsidR="008C47E1" w:rsidRPr="00B526B3" w:rsidRDefault="008C47E1" w:rsidP="00C5795F">
      <w:pPr>
        <w:pStyle w:val="JuPara"/>
      </w:pPr>
      <w:r>
        <w:fldChar w:fldCharType="begin"/>
      </w:r>
      <w:r>
        <w:instrText xml:space="preserve"> SEQ level0 \*arabic </w:instrText>
      </w:r>
      <w:r>
        <w:fldChar w:fldCharType="separate"/>
      </w:r>
      <w:r w:rsidR="00B41E90">
        <w:rPr>
          <w:noProof/>
        </w:rPr>
        <w:t>88</w:t>
      </w:r>
      <w:r>
        <w:fldChar w:fldCharType="end"/>
      </w:r>
      <w:r>
        <w:t>.  </w:t>
      </w:r>
      <w:r w:rsidRPr="00C2558F">
        <w:t xml:space="preserve">The Court notes that the costs claimed by the applicant were necessarily incurred. However, it considers that the sums claimed are not reasonable as to quantum. Regard being had to the information in its </w:t>
      </w:r>
      <w:r w:rsidRPr="009204E1">
        <w:t>possession and to the sums awarded in comparable cases, the Court considers it reasonable to award the sum of EUR 2,000</w:t>
      </w:r>
      <w:r w:rsidR="001A13D0">
        <w:t>, plus any tax that may be chargeable to the applicant on that amount</w:t>
      </w:r>
      <w:r w:rsidRPr="00B526B3">
        <w:t>.</w:t>
      </w:r>
    </w:p>
    <w:p w:rsidR="008C47E1" w:rsidRPr="00E246A6" w:rsidRDefault="008C47E1" w:rsidP="008C47E1">
      <w:pPr>
        <w:pStyle w:val="JuHA"/>
        <w:outlineLvl w:val="0"/>
      </w:pPr>
      <w:r w:rsidRPr="009204E1">
        <w:t>C.  Default interest</w:t>
      </w:r>
    </w:p>
    <w:p w:rsidR="00D972C4" w:rsidRPr="00D972C4" w:rsidRDefault="008C47E1" w:rsidP="003B0120">
      <w:pPr>
        <w:pStyle w:val="JuPara"/>
      </w:pPr>
      <w:r>
        <w:fldChar w:fldCharType="begin"/>
      </w:r>
      <w:r>
        <w:instrText xml:space="preserve"> SEQ level0 \*arabic </w:instrText>
      </w:r>
      <w:r>
        <w:fldChar w:fldCharType="separate"/>
      </w:r>
      <w:r w:rsidR="00B41E90">
        <w:rPr>
          <w:noProof/>
        </w:rPr>
        <w:t>89</w:t>
      </w:r>
      <w:r>
        <w:fldChar w:fldCharType="end"/>
      </w:r>
      <w:r>
        <w:t>.  </w:t>
      </w:r>
      <w:r w:rsidRPr="00E246A6">
        <w:t>The Court considers it appropriate that the default interest rate should be based on the marginal lending rate of the European Central Bank, to which should be added three percentage points.</w:t>
      </w:r>
    </w:p>
    <w:p w:rsidR="008C47E1" w:rsidRPr="00E246A6" w:rsidRDefault="008C47E1" w:rsidP="008C47E1">
      <w:pPr>
        <w:pStyle w:val="JuHHead"/>
      </w:pPr>
      <w:r w:rsidRPr="00E246A6">
        <w:t>FOR THESE R</w:t>
      </w:r>
      <w:r w:rsidR="00D972C4">
        <w:t>E</w:t>
      </w:r>
      <w:r w:rsidRPr="00E246A6">
        <w:t>ASONS, THE COURT UNANIMOUSLY</w:t>
      </w:r>
    </w:p>
    <w:p w:rsidR="008C47E1" w:rsidRPr="00E246A6" w:rsidRDefault="008C47E1" w:rsidP="008C47E1">
      <w:pPr>
        <w:pStyle w:val="JuList"/>
      </w:pPr>
      <w:r w:rsidRPr="00E246A6">
        <w:t>1.  </w:t>
      </w:r>
      <w:r w:rsidRPr="000C31C6">
        <w:rPr>
          <w:i/>
        </w:rPr>
        <w:t>Declares</w:t>
      </w:r>
      <w:r w:rsidRPr="00A97909">
        <w:t xml:space="preserve"> </w:t>
      </w:r>
      <w:r>
        <w:t>the applicat</w:t>
      </w:r>
      <w:r w:rsidR="009204E1">
        <w:t xml:space="preserve">ion </w:t>
      </w:r>
      <w:r>
        <w:t>admissible;</w:t>
      </w:r>
    </w:p>
    <w:p w:rsidR="008C47E1" w:rsidRPr="00E246A6" w:rsidRDefault="008C47E1" w:rsidP="008C47E1">
      <w:pPr>
        <w:pStyle w:val="JuList"/>
      </w:pPr>
    </w:p>
    <w:p w:rsidR="008C47E1" w:rsidRDefault="008C47E1" w:rsidP="008C47E1">
      <w:pPr>
        <w:pStyle w:val="JuList"/>
      </w:pPr>
      <w:r>
        <w:t>2</w:t>
      </w:r>
      <w:r w:rsidRPr="00E246A6">
        <w:t>.  </w:t>
      </w:r>
      <w:r w:rsidRPr="00E246A6">
        <w:rPr>
          <w:i/>
        </w:rPr>
        <w:t>Holds</w:t>
      </w:r>
      <w:r w:rsidR="00A51BB4">
        <w:t xml:space="preserve"> </w:t>
      </w:r>
      <w:r w:rsidRPr="00E246A6">
        <w:t xml:space="preserve">that there has been </w:t>
      </w:r>
      <w:r>
        <w:t xml:space="preserve">a </w:t>
      </w:r>
      <w:r w:rsidRPr="00E246A6">
        <w:t xml:space="preserve">violation of Article </w:t>
      </w:r>
      <w:r>
        <w:t>3 of the Convention under its substantive limb;</w:t>
      </w:r>
    </w:p>
    <w:p w:rsidR="008C47E1" w:rsidRDefault="008C47E1" w:rsidP="008C47E1">
      <w:pPr>
        <w:pStyle w:val="JuList"/>
        <w:rPr>
          <w:i/>
        </w:rPr>
      </w:pPr>
    </w:p>
    <w:p w:rsidR="001A13D0" w:rsidRDefault="001A13D0" w:rsidP="001A13D0">
      <w:pPr>
        <w:pStyle w:val="JuList"/>
      </w:pPr>
      <w:r>
        <w:t>3</w:t>
      </w:r>
      <w:r w:rsidRPr="00E246A6">
        <w:t>.  </w:t>
      </w:r>
      <w:r w:rsidRPr="00E246A6">
        <w:rPr>
          <w:i/>
        </w:rPr>
        <w:t>Holds</w:t>
      </w:r>
      <w:r w:rsidRPr="00E246A6">
        <w:t xml:space="preserve"> that there has been </w:t>
      </w:r>
      <w:r>
        <w:t xml:space="preserve">a </w:t>
      </w:r>
      <w:r w:rsidRPr="00E246A6">
        <w:t xml:space="preserve">violation of Article </w:t>
      </w:r>
      <w:r>
        <w:t>3 of the Convention under its procedural limb;</w:t>
      </w:r>
    </w:p>
    <w:p w:rsidR="001A13D0" w:rsidRDefault="001A13D0" w:rsidP="008C47E1">
      <w:pPr>
        <w:pStyle w:val="JuList"/>
        <w:rPr>
          <w:i/>
        </w:rPr>
      </w:pPr>
    </w:p>
    <w:p w:rsidR="008C47E1" w:rsidRPr="00E246A6" w:rsidRDefault="00AE1954" w:rsidP="008C47E1">
      <w:pPr>
        <w:pStyle w:val="JuList"/>
      </w:pPr>
      <w:r>
        <w:t>4</w:t>
      </w:r>
      <w:r w:rsidR="008C47E1" w:rsidRPr="00E246A6">
        <w:t>.  </w:t>
      </w:r>
      <w:r w:rsidR="008C47E1" w:rsidRPr="00E246A6">
        <w:rPr>
          <w:i/>
        </w:rPr>
        <w:t>Holds</w:t>
      </w:r>
      <w:r w:rsidR="008C47E1" w:rsidRPr="00E246A6">
        <w:t xml:space="preserve"> that </w:t>
      </w:r>
      <w:r w:rsidR="00C66D11">
        <w:t>it is unnecessary to examine the applicant</w:t>
      </w:r>
      <w:r w:rsidR="00C5795F">
        <w:t>’</w:t>
      </w:r>
      <w:r w:rsidR="00C66D11">
        <w:t>s complaint</w:t>
      </w:r>
      <w:r w:rsidR="008C47E1" w:rsidRPr="00E246A6">
        <w:t xml:space="preserve"> </w:t>
      </w:r>
      <w:r w:rsidR="004921C7">
        <w:t xml:space="preserve">under </w:t>
      </w:r>
      <w:r w:rsidR="008C47E1" w:rsidRPr="00E246A6">
        <w:t xml:space="preserve">Article </w:t>
      </w:r>
      <w:r w:rsidR="008C47E1">
        <w:t>13</w:t>
      </w:r>
      <w:r w:rsidR="008C47E1" w:rsidRPr="00E246A6">
        <w:t xml:space="preserve"> of the Convention</w:t>
      </w:r>
      <w:r w:rsidR="004921C7">
        <w:t>;</w:t>
      </w:r>
    </w:p>
    <w:p w:rsidR="008C47E1" w:rsidRPr="00E246A6" w:rsidRDefault="008C47E1" w:rsidP="008C47E1">
      <w:pPr>
        <w:pStyle w:val="JuList"/>
      </w:pPr>
    </w:p>
    <w:p w:rsidR="008C47E1" w:rsidRPr="00E246A6" w:rsidRDefault="00AE1954" w:rsidP="008C47E1">
      <w:pPr>
        <w:pStyle w:val="JuList"/>
      </w:pPr>
      <w:r>
        <w:t>5</w:t>
      </w:r>
      <w:r w:rsidR="008C47E1" w:rsidRPr="00E246A6">
        <w:t>.  </w:t>
      </w:r>
      <w:r w:rsidR="008C47E1" w:rsidRPr="00E246A6">
        <w:rPr>
          <w:i/>
        </w:rPr>
        <w:t>Holds</w:t>
      </w:r>
    </w:p>
    <w:p w:rsidR="008C47E1" w:rsidRDefault="008C47E1" w:rsidP="008C47E1">
      <w:pPr>
        <w:pStyle w:val="JuLista"/>
      </w:pPr>
      <w:r w:rsidRPr="0061724F">
        <w:t>(a)</w:t>
      </w:r>
      <w:r w:rsidR="00B526B3">
        <w:t> </w:t>
      </w:r>
      <w:r w:rsidRPr="0061724F">
        <w:t> </w:t>
      </w:r>
      <w:r>
        <w:t xml:space="preserve">that the respondent State is to pay the applicant, within three months </w:t>
      </w:r>
      <w:r>
        <w:rPr>
          <w:noProof/>
        </w:rPr>
        <w:t>of the date on which the judgment becomes final, in accordance with Article 44 § 2 of the Convention,</w:t>
      </w:r>
      <w:r>
        <w:t xml:space="preserve"> the following amounts, to be converted into the currency of the respondent State at the rate applicable at the date of settlement:</w:t>
      </w:r>
    </w:p>
    <w:p w:rsidR="008C47E1" w:rsidRDefault="008C47E1" w:rsidP="00C5795F">
      <w:pPr>
        <w:pStyle w:val="JuListi"/>
      </w:pPr>
      <w:r>
        <w:t xml:space="preserve">(i)  EUR </w:t>
      </w:r>
      <w:r w:rsidR="006C332E">
        <w:t>27</w:t>
      </w:r>
      <w:r w:rsidRPr="005639E3">
        <w:t>,</w:t>
      </w:r>
      <w:r w:rsidR="007D08F2">
        <w:t>5</w:t>
      </w:r>
      <w:r w:rsidRPr="005639E3">
        <w:t>00</w:t>
      </w:r>
      <w:r>
        <w:t xml:space="preserve"> (</w:t>
      </w:r>
      <w:r w:rsidR="006C332E">
        <w:t xml:space="preserve">twenty seven </w:t>
      </w:r>
      <w:r>
        <w:t xml:space="preserve">thousand </w:t>
      </w:r>
      <w:r w:rsidR="007D08F2">
        <w:t xml:space="preserve">five hundred </w:t>
      </w:r>
      <w:r>
        <w:t>euros), plus any tax that may be chargeable on the above amount, in respect of non-pecuniary damage;</w:t>
      </w:r>
    </w:p>
    <w:p w:rsidR="008C47E1" w:rsidRDefault="008C47E1" w:rsidP="00C5795F">
      <w:pPr>
        <w:pStyle w:val="JuListi"/>
      </w:pPr>
      <w:r>
        <w:t xml:space="preserve">(ii)  EUR </w:t>
      </w:r>
      <w:r w:rsidRPr="005639E3">
        <w:t>2,000</w:t>
      </w:r>
      <w:r>
        <w:t xml:space="preserve"> (two thousand euros), plus any tax that may be chargeable</w:t>
      </w:r>
      <w:r w:rsidRPr="000E2EEE">
        <w:t xml:space="preserve"> </w:t>
      </w:r>
      <w:r>
        <w:t>to the applicant on the above amount, in respect of costs and expenses;</w:t>
      </w:r>
    </w:p>
    <w:p w:rsidR="008C47E1" w:rsidRPr="0061724F" w:rsidRDefault="008C47E1" w:rsidP="008C47E1">
      <w:pPr>
        <w:pStyle w:val="JuLista"/>
      </w:pPr>
      <w:r w:rsidRPr="0061724F">
        <w:t>(b)  that from the expiry of the above-mentioned three months until settlement</w:t>
      </w:r>
      <w:r>
        <w:t>,</w:t>
      </w:r>
      <w:r w:rsidRPr="0061724F">
        <w:t xml:space="preserve"> simple interest shall be payable on the above amount at a rate equal to the marginal lending rate of the European Central Bank during the default period</w:t>
      </w:r>
      <w:r>
        <w:t>,</w:t>
      </w:r>
      <w:r w:rsidRPr="0061724F">
        <w:t xml:space="preserve"> plus three percentage points;</w:t>
      </w:r>
    </w:p>
    <w:p w:rsidR="008C47E1" w:rsidRPr="00E246A6" w:rsidRDefault="008C47E1" w:rsidP="008C47E1">
      <w:pPr>
        <w:pStyle w:val="JuList"/>
      </w:pPr>
    </w:p>
    <w:p w:rsidR="008C47E1" w:rsidRPr="00E246A6" w:rsidRDefault="00AE1954" w:rsidP="008C47E1">
      <w:pPr>
        <w:pStyle w:val="JuList"/>
      </w:pPr>
      <w:r>
        <w:t>6</w:t>
      </w:r>
      <w:r w:rsidR="008C47E1" w:rsidRPr="00E246A6">
        <w:t>.  </w:t>
      </w:r>
      <w:r w:rsidR="008C47E1" w:rsidRPr="00E246A6">
        <w:rPr>
          <w:i/>
        </w:rPr>
        <w:t>Dismisses</w:t>
      </w:r>
      <w:r w:rsidR="008C47E1" w:rsidRPr="00E246A6">
        <w:t xml:space="preserve"> the remainder of the applicant</w:t>
      </w:r>
      <w:r w:rsidR="00C5795F">
        <w:t>’</w:t>
      </w:r>
      <w:r w:rsidR="008C47E1" w:rsidRPr="00E246A6">
        <w:t>s claim for just satisfaction.</w:t>
      </w:r>
    </w:p>
    <w:p w:rsidR="008C47E1" w:rsidRPr="00E246A6" w:rsidRDefault="008C47E1" w:rsidP="008C47E1">
      <w:pPr>
        <w:pStyle w:val="JuParaLast"/>
      </w:pPr>
      <w:r w:rsidRPr="00E246A6">
        <w:t xml:space="preserve">Done in English, and notified in writing on </w:t>
      </w:r>
      <w:r w:rsidR="00A51BB4">
        <w:t>28 November 2013</w:t>
      </w:r>
      <w:r w:rsidRPr="00E246A6">
        <w:t>, pursuant to Rule 77 §§ 2 and 3 of the Rules of Court.</w:t>
      </w:r>
    </w:p>
    <w:p w:rsidR="00667D25" w:rsidRDefault="008C47E1" w:rsidP="009C7FC4">
      <w:pPr>
        <w:pStyle w:val="JuSigned"/>
        <w:keepNext/>
        <w:keepLines/>
      </w:pPr>
      <w:bookmarkStart w:id="37" w:name="p1307"/>
      <w:bookmarkStart w:id="38" w:name="p1324"/>
      <w:bookmarkStart w:id="39" w:name="p1329"/>
      <w:bookmarkStart w:id="40" w:name="p881"/>
      <w:bookmarkStart w:id="41" w:name="p788"/>
      <w:bookmarkStart w:id="42" w:name="eightythree"/>
      <w:bookmarkEnd w:id="37"/>
      <w:bookmarkEnd w:id="38"/>
      <w:bookmarkEnd w:id="39"/>
      <w:bookmarkEnd w:id="40"/>
      <w:bookmarkEnd w:id="41"/>
      <w:bookmarkEnd w:id="42"/>
      <w:r w:rsidRPr="0068637F">
        <w:rPr>
          <w:szCs w:val="24"/>
        </w:rPr>
        <w:t>Søren Nielsen</w:t>
      </w:r>
      <w:r w:rsidRPr="00F22849">
        <w:tab/>
      </w:r>
      <w:r>
        <w:t>Isabelle Berro-Lefèvre</w:t>
      </w:r>
      <w:r w:rsidR="00C5795F">
        <w:br/>
      </w:r>
      <w:r w:rsidRPr="00F22849">
        <w:tab/>
      </w:r>
      <w:r w:rsidRPr="00F22849">
        <w:rPr>
          <w:iCs/>
        </w:rPr>
        <w:t>Registrar</w:t>
      </w:r>
      <w:r w:rsidRPr="00F22849">
        <w:tab/>
        <w:t>President</w:t>
      </w:r>
    </w:p>
    <w:sectPr w:rsidR="00667D25" w:rsidSect="00437C62">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B5" w:rsidRDefault="00867CB5">
      <w:r>
        <w:separator/>
      </w:r>
    </w:p>
  </w:endnote>
  <w:endnote w:type="continuationSeparator" w:id="0">
    <w:p w:rsidR="00867CB5" w:rsidRDefault="0086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5F" w:rsidRPr="00150BFA" w:rsidRDefault="00B41E90" w:rsidP="00792C54">
    <w:pPr>
      <w:jc w:val="center"/>
    </w:pPr>
    <w:r>
      <w:rPr>
        <w:noProof/>
        <w:lang w:val="en-US" w:eastAsia="ja-JP"/>
      </w:rPr>
      <w:drawing>
        <wp:inline distT="0" distB="0" distL="0" distR="0">
          <wp:extent cx="762000" cy="609600"/>
          <wp:effectExtent l="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a:ln>
                    <a:noFill/>
                  </a:ln>
                </pic:spPr>
              </pic:pic>
            </a:graphicData>
          </a:graphic>
        </wp:inline>
      </w:drawing>
    </w:r>
  </w:p>
  <w:p w:rsidR="00122C5F" w:rsidRDefault="00122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B5" w:rsidRDefault="00867CB5">
      <w:r>
        <w:separator/>
      </w:r>
    </w:p>
  </w:footnote>
  <w:footnote w:type="continuationSeparator" w:id="0">
    <w:p w:rsidR="00867CB5" w:rsidRDefault="0086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86" w:rsidRPr="00122C5F" w:rsidRDefault="00141186" w:rsidP="00122C5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5F" w:rsidRPr="00A45145" w:rsidRDefault="00B41E90" w:rsidP="00792C54">
    <w:pPr>
      <w:jc w:val="center"/>
    </w:pPr>
    <w:bookmarkStart w:id="1" w:name="_GoBack"/>
    <w:r>
      <w:rPr>
        <w:noProof/>
        <w:lang w:val="en-US" w:eastAsia="ja-JP"/>
      </w:rPr>
      <w:drawing>
        <wp:inline distT="0" distB="0" distL="0" distR="0">
          <wp:extent cx="2944495" cy="1219200"/>
          <wp:effectExtent l="0" t="0" r="8255" b="0"/>
          <wp:docPr id="1" name="Picture 13"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1_Graphics&amp;Web\Court_Graphic_Charter\2013\ECHR_Stationery\Documents\Cover_Page\ECHR_CoverpageCS6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1219200"/>
                  </a:xfrm>
                  <a:prstGeom prst="rect">
                    <a:avLst/>
                  </a:prstGeom>
                  <a:noFill/>
                  <a:ln>
                    <a:noFill/>
                  </a:ln>
                </pic:spPr>
              </pic:pic>
            </a:graphicData>
          </a:graphic>
        </wp:inline>
      </w:drawing>
    </w:r>
    <w:bookmarkEnd w:id="1"/>
  </w:p>
  <w:p w:rsidR="00122C5F" w:rsidRDefault="00122C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5F" w:rsidRDefault="00122C5F">
    <w:pPr>
      <w:pStyle w:val="JuHeader"/>
    </w:pPr>
    <w:r>
      <w:rPr>
        <w:rStyle w:val="PageNumber"/>
      </w:rPr>
      <w:fldChar w:fldCharType="begin"/>
    </w:r>
    <w:r>
      <w:rPr>
        <w:rStyle w:val="PageNumber"/>
      </w:rPr>
      <w:instrText xml:space="preserve"> PAGE </w:instrText>
    </w:r>
    <w:r>
      <w:rPr>
        <w:rStyle w:val="PageNumber"/>
      </w:rPr>
      <w:fldChar w:fldCharType="separate"/>
    </w:r>
    <w:r w:rsidR="00B41E90">
      <w:rPr>
        <w:rStyle w:val="PageNumber"/>
        <w:noProof/>
      </w:rPr>
      <w:t>4</w:t>
    </w:r>
    <w:r>
      <w:rPr>
        <w:rStyle w:val="PageNumber"/>
      </w:rPr>
      <w:fldChar w:fldCharType="end"/>
    </w:r>
    <w:r>
      <w:tab/>
      <w:t xml:space="preserve">NOVOSELOV v. </w:t>
    </w:r>
    <w:smartTag w:uri="urn:schemas-microsoft-com:office:smarttags" w:element="place">
      <w:smartTag w:uri="urn:schemas-microsoft-com:office:smarttags" w:element="country-region">
        <w:r>
          <w:t>RUSSIA</w:t>
        </w:r>
      </w:smartTag>
    </w:smartTag>
    <w:r>
      <w:t xml:space="preserve">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5F" w:rsidRDefault="00122C5F">
    <w:pPr>
      <w:pStyle w:val="JuHeader"/>
    </w:pPr>
    <w:r>
      <w:tab/>
      <w:t xml:space="preserve">ALEKSANDR NOVOSELOV v. </w:t>
    </w:r>
    <w:smartTag w:uri="urn:schemas-microsoft-com:office:smarttags" w:element="place">
      <w:smartTag w:uri="urn:schemas-microsoft-com:office:smarttags" w:element="country-region">
        <w:r>
          <w:t>RUSSIA</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B41E90">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B2DBB0"/>
    <w:lvl w:ilvl="0">
      <w:start w:val="1"/>
      <w:numFmt w:val="decimal"/>
      <w:lvlText w:val="%1."/>
      <w:lvlJc w:val="left"/>
      <w:pPr>
        <w:tabs>
          <w:tab w:val="num" w:pos="1492"/>
        </w:tabs>
        <w:ind w:left="1492" w:hanging="360"/>
      </w:pPr>
    </w:lvl>
  </w:abstractNum>
  <w:abstractNum w:abstractNumId="1">
    <w:nsid w:val="FFFFFF7D"/>
    <w:multiLevelType w:val="singleLevel"/>
    <w:tmpl w:val="B7723FCE"/>
    <w:lvl w:ilvl="0">
      <w:start w:val="1"/>
      <w:numFmt w:val="decimal"/>
      <w:lvlText w:val="%1."/>
      <w:lvlJc w:val="left"/>
      <w:pPr>
        <w:tabs>
          <w:tab w:val="num" w:pos="1209"/>
        </w:tabs>
        <w:ind w:left="1209" w:hanging="360"/>
      </w:pPr>
    </w:lvl>
  </w:abstractNum>
  <w:abstractNum w:abstractNumId="2">
    <w:nsid w:val="FFFFFF7E"/>
    <w:multiLevelType w:val="singleLevel"/>
    <w:tmpl w:val="0A026D90"/>
    <w:lvl w:ilvl="0">
      <w:start w:val="1"/>
      <w:numFmt w:val="decimal"/>
      <w:lvlText w:val="%1."/>
      <w:lvlJc w:val="left"/>
      <w:pPr>
        <w:tabs>
          <w:tab w:val="num" w:pos="926"/>
        </w:tabs>
        <w:ind w:left="926" w:hanging="360"/>
      </w:pPr>
    </w:lvl>
  </w:abstractNum>
  <w:abstractNum w:abstractNumId="3">
    <w:nsid w:val="FFFFFF7F"/>
    <w:multiLevelType w:val="singleLevel"/>
    <w:tmpl w:val="FECA4504"/>
    <w:lvl w:ilvl="0">
      <w:start w:val="1"/>
      <w:numFmt w:val="decimal"/>
      <w:lvlText w:val="%1."/>
      <w:lvlJc w:val="left"/>
      <w:pPr>
        <w:tabs>
          <w:tab w:val="num" w:pos="643"/>
        </w:tabs>
        <w:ind w:left="643" w:hanging="360"/>
      </w:pPr>
    </w:lvl>
  </w:abstractNum>
  <w:abstractNum w:abstractNumId="4">
    <w:nsid w:val="FFFFFF80"/>
    <w:multiLevelType w:val="singleLevel"/>
    <w:tmpl w:val="36E2FB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F29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A8E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CE20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D2AC14"/>
    <w:lvl w:ilvl="0">
      <w:start w:val="1"/>
      <w:numFmt w:val="decimal"/>
      <w:lvlText w:val="%1."/>
      <w:lvlJc w:val="left"/>
      <w:pPr>
        <w:tabs>
          <w:tab w:val="num" w:pos="360"/>
        </w:tabs>
        <w:ind w:left="360" w:hanging="360"/>
      </w:pPr>
    </w:lvl>
  </w:abstractNum>
  <w:abstractNum w:abstractNumId="9">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nsid w:val="67FD1241"/>
    <w:multiLevelType w:val="hybridMultilevel"/>
    <w:tmpl w:val="F6D86CC2"/>
    <w:lvl w:ilvl="0" w:tplc="E4205412">
      <w:start w:val="1"/>
      <w:numFmt w:val="bullet"/>
      <w:pStyle w:val="s6b621b36"/>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7BBE6CBD"/>
    <w:multiLevelType w:val="hybridMultilevel"/>
    <w:tmpl w:val="5B122094"/>
    <w:lvl w:ilvl="0" w:tplc="4FDAD2AA">
      <w:start w:val="1"/>
      <w:numFmt w:val="decimal"/>
      <w:pStyle w:val="wordhighlighted"/>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E1"/>
    <w:rsid w:val="00003518"/>
    <w:rsid w:val="00004DC2"/>
    <w:rsid w:val="00012E5B"/>
    <w:rsid w:val="0001669E"/>
    <w:rsid w:val="00023EDA"/>
    <w:rsid w:val="0002543D"/>
    <w:rsid w:val="00026E0D"/>
    <w:rsid w:val="00030577"/>
    <w:rsid w:val="0003212F"/>
    <w:rsid w:val="0003255D"/>
    <w:rsid w:val="0003417D"/>
    <w:rsid w:val="00046040"/>
    <w:rsid w:val="00050142"/>
    <w:rsid w:val="000618D0"/>
    <w:rsid w:val="00062C51"/>
    <w:rsid w:val="0007052B"/>
    <w:rsid w:val="00081C35"/>
    <w:rsid w:val="000823C0"/>
    <w:rsid w:val="000839F7"/>
    <w:rsid w:val="000A5F40"/>
    <w:rsid w:val="000A69CB"/>
    <w:rsid w:val="000B1A6C"/>
    <w:rsid w:val="000B2646"/>
    <w:rsid w:val="000B6D7E"/>
    <w:rsid w:val="000B7B30"/>
    <w:rsid w:val="000C034D"/>
    <w:rsid w:val="000C7998"/>
    <w:rsid w:val="000D002C"/>
    <w:rsid w:val="000D58B2"/>
    <w:rsid w:val="000D6428"/>
    <w:rsid w:val="000E4FA9"/>
    <w:rsid w:val="000F0231"/>
    <w:rsid w:val="000F361A"/>
    <w:rsid w:val="0010681C"/>
    <w:rsid w:val="00114A37"/>
    <w:rsid w:val="00122C5F"/>
    <w:rsid w:val="00126382"/>
    <w:rsid w:val="00126CEA"/>
    <w:rsid w:val="00136D20"/>
    <w:rsid w:val="00141186"/>
    <w:rsid w:val="0015691E"/>
    <w:rsid w:val="001662AE"/>
    <w:rsid w:val="00171FBF"/>
    <w:rsid w:val="0017279E"/>
    <w:rsid w:val="00174915"/>
    <w:rsid w:val="00175754"/>
    <w:rsid w:val="00181F3A"/>
    <w:rsid w:val="00181F5F"/>
    <w:rsid w:val="00191B63"/>
    <w:rsid w:val="0019258A"/>
    <w:rsid w:val="001A13D0"/>
    <w:rsid w:val="001C68A0"/>
    <w:rsid w:val="001C6F7F"/>
    <w:rsid w:val="001D2939"/>
    <w:rsid w:val="001F6645"/>
    <w:rsid w:val="002072D0"/>
    <w:rsid w:val="00225368"/>
    <w:rsid w:val="002262E3"/>
    <w:rsid w:val="00230F01"/>
    <w:rsid w:val="00235958"/>
    <w:rsid w:val="002363A2"/>
    <w:rsid w:val="00236F50"/>
    <w:rsid w:val="00237C69"/>
    <w:rsid w:val="002749A3"/>
    <w:rsid w:val="0027589B"/>
    <w:rsid w:val="002879D7"/>
    <w:rsid w:val="00294F58"/>
    <w:rsid w:val="002976B0"/>
    <w:rsid w:val="002A0D62"/>
    <w:rsid w:val="002A0EE4"/>
    <w:rsid w:val="002A5229"/>
    <w:rsid w:val="002B0B6D"/>
    <w:rsid w:val="002B776C"/>
    <w:rsid w:val="002E0F96"/>
    <w:rsid w:val="002F5213"/>
    <w:rsid w:val="00303375"/>
    <w:rsid w:val="00303FA6"/>
    <w:rsid w:val="00324185"/>
    <w:rsid w:val="00325DE0"/>
    <w:rsid w:val="003335A5"/>
    <w:rsid w:val="00341101"/>
    <w:rsid w:val="00342969"/>
    <w:rsid w:val="00347690"/>
    <w:rsid w:val="00356753"/>
    <w:rsid w:val="003623AA"/>
    <w:rsid w:val="00390005"/>
    <w:rsid w:val="003A080A"/>
    <w:rsid w:val="003A72CB"/>
    <w:rsid w:val="003B0120"/>
    <w:rsid w:val="003B1BEE"/>
    <w:rsid w:val="003B2BE1"/>
    <w:rsid w:val="003B487C"/>
    <w:rsid w:val="003B66DD"/>
    <w:rsid w:val="003C269C"/>
    <w:rsid w:val="003C303C"/>
    <w:rsid w:val="003C31BE"/>
    <w:rsid w:val="003C3C2A"/>
    <w:rsid w:val="003C5617"/>
    <w:rsid w:val="003D1C88"/>
    <w:rsid w:val="003E7F2B"/>
    <w:rsid w:val="00410CCE"/>
    <w:rsid w:val="00416D4C"/>
    <w:rsid w:val="0042361B"/>
    <w:rsid w:val="00423BC2"/>
    <w:rsid w:val="00437C62"/>
    <w:rsid w:val="00441BDB"/>
    <w:rsid w:val="00442669"/>
    <w:rsid w:val="00456256"/>
    <w:rsid w:val="004622D3"/>
    <w:rsid w:val="00471E15"/>
    <w:rsid w:val="00481111"/>
    <w:rsid w:val="0048232A"/>
    <w:rsid w:val="00483C33"/>
    <w:rsid w:val="004844A8"/>
    <w:rsid w:val="0048771F"/>
    <w:rsid w:val="00490F6F"/>
    <w:rsid w:val="004921C7"/>
    <w:rsid w:val="004A4D10"/>
    <w:rsid w:val="004B1AEF"/>
    <w:rsid w:val="004B1F6E"/>
    <w:rsid w:val="004B7CC4"/>
    <w:rsid w:val="004C4CBE"/>
    <w:rsid w:val="004C5542"/>
    <w:rsid w:val="004D2D86"/>
    <w:rsid w:val="004E3471"/>
    <w:rsid w:val="004E4516"/>
    <w:rsid w:val="004E4784"/>
    <w:rsid w:val="004F69E2"/>
    <w:rsid w:val="00504F24"/>
    <w:rsid w:val="005118EB"/>
    <w:rsid w:val="00511F0E"/>
    <w:rsid w:val="00522640"/>
    <w:rsid w:val="00522D7B"/>
    <w:rsid w:val="00527852"/>
    <w:rsid w:val="00532628"/>
    <w:rsid w:val="0054117D"/>
    <w:rsid w:val="00545C8C"/>
    <w:rsid w:val="00553163"/>
    <w:rsid w:val="005564CB"/>
    <w:rsid w:val="00575F01"/>
    <w:rsid w:val="0058090D"/>
    <w:rsid w:val="005824B7"/>
    <w:rsid w:val="005925EC"/>
    <w:rsid w:val="00593458"/>
    <w:rsid w:val="005946AD"/>
    <w:rsid w:val="005950F5"/>
    <w:rsid w:val="005A2219"/>
    <w:rsid w:val="005B3FF6"/>
    <w:rsid w:val="005C3AAC"/>
    <w:rsid w:val="005D1B88"/>
    <w:rsid w:val="0060571C"/>
    <w:rsid w:val="0061774E"/>
    <w:rsid w:val="0062518C"/>
    <w:rsid w:val="00634C90"/>
    <w:rsid w:val="00644446"/>
    <w:rsid w:val="006547B4"/>
    <w:rsid w:val="00657930"/>
    <w:rsid w:val="006606DD"/>
    <w:rsid w:val="00660702"/>
    <w:rsid w:val="006633DA"/>
    <w:rsid w:val="00664E18"/>
    <w:rsid w:val="00667D25"/>
    <w:rsid w:val="00686D2B"/>
    <w:rsid w:val="00687DE1"/>
    <w:rsid w:val="006B07B3"/>
    <w:rsid w:val="006C2745"/>
    <w:rsid w:val="006C3318"/>
    <w:rsid w:val="006C332E"/>
    <w:rsid w:val="006D603F"/>
    <w:rsid w:val="006E0031"/>
    <w:rsid w:val="006F078A"/>
    <w:rsid w:val="006F5CC0"/>
    <w:rsid w:val="006F5E13"/>
    <w:rsid w:val="007104F2"/>
    <w:rsid w:val="0071055D"/>
    <w:rsid w:val="00716C18"/>
    <w:rsid w:val="00722412"/>
    <w:rsid w:val="00730E32"/>
    <w:rsid w:val="00736A21"/>
    <w:rsid w:val="00751B7C"/>
    <w:rsid w:val="007572A0"/>
    <w:rsid w:val="00783022"/>
    <w:rsid w:val="0078433F"/>
    <w:rsid w:val="007851F5"/>
    <w:rsid w:val="00785465"/>
    <w:rsid w:val="00786F82"/>
    <w:rsid w:val="00790C81"/>
    <w:rsid w:val="0079102F"/>
    <w:rsid w:val="00792C54"/>
    <w:rsid w:val="00795DA5"/>
    <w:rsid w:val="007A204E"/>
    <w:rsid w:val="007A357A"/>
    <w:rsid w:val="007A3EBF"/>
    <w:rsid w:val="007A497C"/>
    <w:rsid w:val="007B0771"/>
    <w:rsid w:val="007D08F2"/>
    <w:rsid w:val="007D1BFF"/>
    <w:rsid w:val="007D3F38"/>
    <w:rsid w:val="007D5D47"/>
    <w:rsid w:val="007E086C"/>
    <w:rsid w:val="007E0ECA"/>
    <w:rsid w:val="007E3326"/>
    <w:rsid w:val="007E3F1A"/>
    <w:rsid w:val="007E4832"/>
    <w:rsid w:val="007E58CA"/>
    <w:rsid w:val="007F5A7A"/>
    <w:rsid w:val="007F5F3F"/>
    <w:rsid w:val="00806721"/>
    <w:rsid w:val="0082279B"/>
    <w:rsid w:val="008233FB"/>
    <w:rsid w:val="00834DC4"/>
    <w:rsid w:val="00837319"/>
    <w:rsid w:val="00847CB3"/>
    <w:rsid w:val="008559B6"/>
    <w:rsid w:val="00867CB5"/>
    <w:rsid w:val="0087667C"/>
    <w:rsid w:val="0088185A"/>
    <w:rsid w:val="0088287B"/>
    <w:rsid w:val="00885779"/>
    <w:rsid w:val="008939F2"/>
    <w:rsid w:val="008942C8"/>
    <w:rsid w:val="008970F4"/>
    <w:rsid w:val="008A2227"/>
    <w:rsid w:val="008A4890"/>
    <w:rsid w:val="008A634F"/>
    <w:rsid w:val="008B1E31"/>
    <w:rsid w:val="008B218D"/>
    <w:rsid w:val="008B34CB"/>
    <w:rsid w:val="008B6334"/>
    <w:rsid w:val="008C3CF3"/>
    <w:rsid w:val="008C47E1"/>
    <w:rsid w:val="008C5EFA"/>
    <w:rsid w:val="008C7341"/>
    <w:rsid w:val="008C7A1B"/>
    <w:rsid w:val="008D0981"/>
    <w:rsid w:val="008D5449"/>
    <w:rsid w:val="008E07C8"/>
    <w:rsid w:val="008E7837"/>
    <w:rsid w:val="00902369"/>
    <w:rsid w:val="0090463F"/>
    <w:rsid w:val="00914120"/>
    <w:rsid w:val="00916831"/>
    <w:rsid w:val="009174D9"/>
    <w:rsid w:val="009204E1"/>
    <w:rsid w:val="00934EBA"/>
    <w:rsid w:val="00935F23"/>
    <w:rsid w:val="00937917"/>
    <w:rsid w:val="00950D9C"/>
    <w:rsid w:val="00954786"/>
    <w:rsid w:val="00954DAE"/>
    <w:rsid w:val="009555DB"/>
    <w:rsid w:val="009573D8"/>
    <w:rsid w:val="00957BB4"/>
    <w:rsid w:val="0096415F"/>
    <w:rsid w:val="009678A1"/>
    <w:rsid w:val="00981AE2"/>
    <w:rsid w:val="00990128"/>
    <w:rsid w:val="0099049F"/>
    <w:rsid w:val="00991C85"/>
    <w:rsid w:val="009971C1"/>
    <w:rsid w:val="00997B8C"/>
    <w:rsid w:val="009A5E81"/>
    <w:rsid w:val="009B2E6A"/>
    <w:rsid w:val="009C7026"/>
    <w:rsid w:val="009C7FC4"/>
    <w:rsid w:val="009E6EA1"/>
    <w:rsid w:val="009F11B1"/>
    <w:rsid w:val="009F42AD"/>
    <w:rsid w:val="00A0034D"/>
    <w:rsid w:val="00A035F2"/>
    <w:rsid w:val="00A41D64"/>
    <w:rsid w:val="00A454A7"/>
    <w:rsid w:val="00A51BB4"/>
    <w:rsid w:val="00A56398"/>
    <w:rsid w:val="00A5702D"/>
    <w:rsid w:val="00A77FA2"/>
    <w:rsid w:val="00A82F6D"/>
    <w:rsid w:val="00A83C86"/>
    <w:rsid w:val="00A86E29"/>
    <w:rsid w:val="00A8732B"/>
    <w:rsid w:val="00AA1304"/>
    <w:rsid w:val="00AA2E1C"/>
    <w:rsid w:val="00AB1E19"/>
    <w:rsid w:val="00AB1F89"/>
    <w:rsid w:val="00AB271E"/>
    <w:rsid w:val="00AB78E9"/>
    <w:rsid w:val="00AC3BFA"/>
    <w:rsid w:val="00AD3D2E"/>
    <w:rsid w:val="00AE1954"/>
    <w:rsid w:val="00AE2DDE"/>
    <w:rsid w:val="00AE3EDE"/>
    <w:rsid w:val="00AE57DF"/>
    <w:rsid w:val="00AF5F55"/>
    <w:rsid w:val="00AF6A4C"/>
    <w:rsid w:val="00B042D4"/>
    <w:rsid w:val="00B1445F"/>
    <w:rsid w:val="00B25BB0"/>
    <w:rsid w:val="00B41E90"/>
    <w:rsid w:val="00B44BE1"/>
    <w:rsid w:val="00B46F8B"/>
    <w:rsid w:val="00B50BAE"/>
    <w:rsid w:val="00B526B3"/>
    <w:rsid w:val="00B6697F"/>
    <w:rsid w:val="00B7420D"/>
    <w:rsid w:val="00BA2858"/>
    <w:rsid w:val="00BB1E9B"/>
    <w:rsid w:val="00BB4576"/>
    <w:rsid w:val="00BB6ECE"/>
    <w:rsid w:val="00BC21B5"/>
    <w:rsid w:val="00BC239B"/>
    <w:rsid w:val="00BC51E1"/>
    <w:rsid w:val="00BD45D9"/>
    <w:rsid w:val="00BD4946"/>
    <w:rsid w:val="00BD69CB"/>
    <w:rsid w:val="00BE3DB6"/>
    <w:rsid w:val="00BE4AF1"/>
    <w:rsid w:val="00BE56D0"/>
    <w:rsid w:val="00C0084C"/>
    <w:rsid w:val="00C03B81"/>
    <w:rsid w:val="00C12796"/>
    <w:rsid w:val="00C30473"/>
    <w:rsid w:val="00C31EA0"/>
    <w:rsid w:val="00C42E77"/>
    <w:rsid w:val="00C43899"/>
    <w:rsid w:val="00C47EF6"/>
    <w:rsid w:val="00C5003E"/>
    <w:rsid w:val="00C516B3"/>
    <w:rsid w:val="00C525C1"/>
    <w:rsid w:val="00C55E86"/>
    <w:rsid w:val="00C5795F"/>
    <w:rsid w:val="00C61C06"/>
    <w:rsid w:val="00C64AF9"/>
    <w:rsid w:val="00C66D11"/>
    <w:rsid w:val="00C6721F"/>
    <w:rsid w:val="00C67518"/>
    <w:rsid w:val="00C72103"/>
    <w:rsid w:val="00C74C8F"/>
    <w:rsid w:val="00C86500"/>
    <w:rsid w:val="00C921BC"/>
    <w:rsid w:val="00C94421"/>
    <w:rsid w:val="00CA6E47"/>
    <w:rsid w:val="00CB6147"/>
    <w:rsid w:val="00CF1F92"/>
    <w:rsid w:val="00D01CCE"/>
    <w:rsid w:val="00D02765"/>
    <w:rsid w:val="00D17D46"/>
    <w:rsid w:val="00D2164F"/>
    <w:rsid w:val="00D2711E"/>
    <w:rsid w:val="00D4253A"/>
    <w:rsid w:val="00D43619"/>
    <w:rsid w:val="00D468D6"/>
    <w:rsid w:val="00D5401C"/>
    <w:rsid w:val="00D6011F"/>
    <w:rsid w:val="00D62B06"/>
    <w:rsid w:val="00D6500A"/>
    <w:rsid w:val="00D66F39"/>
    <w:rsid w:val="00D76C70"/>
    <w:rsid w:val="00D823A7"/>
    <w:rsid w:val="00D83156"/>
    <w:rsid w:val="00D972C4"/>
    <w:rsid w:val="00D97CCE"/>
    <w:rsid w:val="00DA3371"/>
    <w:rsid w:val="00DA5EBD"/>
    <w:rsid w:val="00DB2354"/>
    <w:rsid w:val="00DB3FAB"/>
    <w:rsid w:val="00DC03FC"/>
    <w:rsid w:val="00DC3A2C"/>
    <w:rsid w:val="00DD30A5"/>
    <w:rsid w:val="00DE6154"/>
    <w:rsid w:val="00E03399"/>
    <w:rsid w:val="00E03A32"/>
    <w:rsid w:val="00E0439D"/>
    <w:rsid w:val="00E136CE"/>
    <w:rsid w:val="00E16F73"/>
    <w:rsid w:val="00E306D7"/>
    <w:rsid w:val="00E3612B"/>
    <w:rsid w:val="00E37BEF"/>
    <w:rsid w:val="00E440C6"/>
    <w:rsid w:val="00E50061"/>
    <w:rsid w:val="00E5606E"/>
    <w:rsid w:val="00E574D3"/>
    <w:rsid w:val="00E70A38"/>
    <w:rsid w:val="00E74A6E"/>
    <w:rsid w:val="00E803D6"/>
    <w:rsid w:val="00E97242"/>
    <w:rsid w:val="00EA6B21"/>
    <w:rsid w:val="00EB22EC"/>
    <w:rsid w:val="00EB5CE3"/>
    <w:rsid w:val="00EC6404"/>
    <w:rsid w:val="00ED0CC9"/>
    <w:rsid w:val="00ED17CD"/>
    <w:rsid w:val="00ED4BBF"/>
    <w:rsid w:val="00ED7914"/>
    <w:rsid w:val="00EE29E0"/>
    <w:rsid w:val="00EE380F"/>
    <w:rsid w:val="00EE421B"/>
    <w:rsid w:val="00EF4ECC"/>
    <w:rsid w:val="00EF56C4"/>
    <w:rsid w:val="00F02E14"/>
    <w:rsid w:val="00F07C86"/>
    <w:rsid w:val="00F21376"/>
    <w:rsid w:val="00F25A6E"/>
    <w:rsid w:val="00F27728"/>
    <w:rsid w:val="00F4063A"/>
    <w:rsid w:val="00F40A1B"/>
    <w:rsid w:val="00F420B7"/>
    <w:rsid w:val="00F47933"/>
    <w:rsid w:val="00F5062A"/>
    <w:rsid w:val="00F5455A"/>
    <w:rsid w:val="00F5532C"/>
    <w:rsid w:val="00F56E42"/>
    <w:rsid w:val="00F60AAD"/>
    <w:rsid w:val="00F711C7"/>
    <w:rsid w:val="00F86130"/>
    <w:rsid w:val="00F86DE8"/>
    <w:rsid w:val="00F95CD4"/>
    <w:rsid w:val="00F977FF"/>
    <w:rsid w:val="00FA4C64"/>
    <w:rsid w:val="00FF49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B8C"/>
    <w:pPr>
      <w:suppressAutoHyphens/>
    </w:pPr>
    <w:rPr>
      <w:sz w:val="24"/>
      <w:lang w:val="en-GB" w:eastAsia="fr-FR"/>
    </w:rPr>
  </w:style>
  <w:style w:type="paragraph" w:styleId="Heading1">
    <w:name w:val="heading 1"/>
    <w:basedOn w:val="Normal"/>
    <w:next w:val="Normal"/>
    <w:qFormat/>
    <w:rsid w:val="008C47E1"/>
    <w:pPr>
      <w:keepNext/>
      <w:spacing w:before="360" w:after="240"/>
      <w:jc w:val="center"/>
      <w:outlineLvl w:val="0"/>
    </w:pPr>
    <w:rPr>
      <w:b/>
      <w:sz w:val="28"/>
    </w:rPr>
  </w:style>
  <w:style w:type="paragraph" w:styleId="Heading2">
    <w:name w:val="heading 2"/>
    <w:basedOn w:val="Normal"/>
    <w:next w:val="Normal"/>
    <w:qFormat/>
    <w:rsid w:val="008C47E1"/>
    <w:pPr>
      <w:keepNext/>
      <w:spacing w:before="240" w:after="120"/>
      <w:ind w:left="284" w:hanging="284"/>
      <w:outlineLvl w:val="1"/>
    </w:pPr>
    <w:rPr>
      <w:b/>
    </w:rPr>
  </w:style>
  <w:style w:type="paragraph" w:styleId="Heading3">
    <w:name w:val="heading 3"/>
    <w:basedOn w:val="Normal"/>
    <w:next w:val="Normal"/>
    <w:qFormat/>
    <w:rsid w:val="008C47E1"/>
    <w:pPr>
      <w:keepNext/>
      <w:spacing w:before="120" w:after="60"/>
      <w:ind w:left="1418" w:hanging="851"/>
      <w:outlineLvl w:val="2"/>
    </w:pPr>
    <w:rPr>
      <w:i/>
    </w:rPr>
  </w:style>
  <w:style w:type="paragraph" w:styleId="Heading4">
    <w:name w:val="heading 4"/>
    <w:basedOn w:val="Normal"/>
    <w:next w:val="Normal"/>
    <w:qFormat/>
    <w:rsid w:val="008C47E1"/>
    <w:pPr>
      <w:widowControl w:val="0"/>
      <w:outlineLvl w:val="3"/>
    </w:pPr>
    <w:rPr>
      <w:rFonts w:ascii="Courier" w:hAnsi="Courier"/>
      <w:snapToGrid w:val="0"/>
      <w:lang w:val="en-US" w:eastAsia="en-US"/>
    </w:rPr>
  </w:style>
  <w:style w:type="paragraph" w:styleId="Heading5">
    <w:name w:val="heading 5"/>
    <w:basedOn w:val="Normal"/>
    <w:next w:val="Normal"/>
    <w:qFormat/>
    <w:rsid w:val="008C47E1"/>
    <w:pPr>
      <w:widowControl w:val="0"/>
      <w:outlineLvl w:val="4"/>
    </w:pPr>
    <w:rPr>
      <w:rFonts w:ascii="Courier" w:hAnsi="Courier"/>
      <w:snapToGrid w:val="0"/>
      <w:lang w:val="en-US" w:eastAsia="en-US"/>
    </w:rPr>
  </w:style>
  <w:style w:type="paragraph" w:styleId="Heading6">
    <w:name w:val="heading 6"/>
    <w:basedOn w:val="Normal"/>
    <w:next w:val="Normal"/>
    <w:qFormat/>
    <w:rsid w:val="008C47E1"/>
    <w:pPr>
      <w:widowControl w:val="0"/>
      <w:outlineLvl w:val="5"/>
    </w:pPr>
    <w:rPr>
      <w:rFonts w:ascii="Courier" w:hAnsi="Courier"/>
      <w:snapToGrid w:val="0"/>
      <w:lang w:val="en-US" w:eastAsia="en-US"/>
    </w:rPr>
  </w:style>
  <w:style w:type="paragraph" w:styleId="Heading7">
    <w:name w:val="heading 7"/>
    <w:basedOn w:val="Normal"/>
    <w:next w:val="Normal"/>
    <w:qFormat/>
    <w:rsid w:val="008C47E1"/>
    <w:pPr>
      <w:widowControl w:val="0"/>
      <w:outlineLvl w:val="6"/>
    </w:pPr>
    <w:rPr>
      <w:rFonts w:ascii="Courier" w:hAnsi="Courier"/>
      <w:snapToGrid w:val="0"/>
      <w:lang w:val="en-US" w:eastAsia="en-US"/>
    </w:rPr>
  </w:style>
  <w:style w:type="paragraph" w:styleId="Heading8">
    <w:name w:val="heading 8"/>
    <w:basedOn w:val="Normal"/>
    <w:next w:val="Normal"/>
    <w:qFormat/>
    <w:rsid w:val="008C47E1"/>
    <w:pPr>
      <w:widowControl w:val="0"/>
      <w:outlineLvl w:val="7"/>
    </w:pPr>
    <w:rPr>
      <w:rFonts w:ascii="Courier" w:hAnsi="Courier"/>
      <w:snapToGrid w:val="0"/>
      <w:lang w:val="en-US" w:eastAsia="en-US"/>
    </w:rPr>
  </w:style>
  <w:style w:type="paragraph" w:styleId="Heading9">
    <w:name w:val="heading 9"/>
    <w:basedOn w:val="Normal"/>
    <w:next w:val="Normal"/>
    <w:qFormat/>
    <w:rsid w:val="008C47E1"/>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piHA">
    <w:name w:val="Opi_H_A"/>
    <w:basedOn w:val="JuHIRoman"/>
    <w:next w:val="OpiPara"/>
    <w:rsid w:val="008C47E1"/>
    <w:pPr>
      <w:tabs>
        <w:tab w:val="clear" w:pos="357"/>
      </w:tabs>
    </w:pPr>
    <w:rPr>
      <w:b/>
    </w:rPr>
  </w:style>
  <w:style w:type="paragraph" w:customStyle="1" w:styleId="JuHIRoman">
    <w:name w:val="Ju_H_I_Roman"/>
    <w:basedOn w:val="JuHHead"/>
    <w:next w:val="JuPara"/>
    <w:link w:val="JuHIRomanChar"/>
    <w:rsid w:val="008C47E1"/>
    <w:pPr>
      <w:tabs>
        <w:tab w:val="left" w:pos="357"/>
      </w:tabs>
      <w:spacing w:before="360"/>
      <w:ind w:left="357" w:hanging="357"/>
      <w:outlineLvl w:val="1"/>
    </w:pPr>
    <w:rPr>
      <w:sz w:val="24"/>
    </w:rPr>
  </w:style>
  <w:style w:type="paragraph" w:customStyle="1" w:styleId="JuHHead">
    <w:name w:val="Ju_H_Head"/>
    <w:basedOn w:val="NormalTimesNewRoman"/>
    <w:next w:val="JuPara"/>
    <w:rsid w:val="008C47E1"/>
    <w:pPr>
      <w:keepNext/>
      <w:keepLines/>
      <w:spacing w:before="720" w:after="240"/>
      <w:jc w:val="both"/>
      <w:outlineLvl w:val="0"/>
    </w:pPr>
    <w:rPr>
      <w:sz w:val="28"/>
    </w:rPr>
  </w:style>
  <w:style w:type="paragraph" w:customStyle="1" w:styleId="NormalTimesNewRoman">
    <w:name w:val="Normal_TimesNewRoman"/>
    <w:rsid w:val="008C47E1"/>
    <w:rPr>
      <w:sz w:val="24"/>
      <w:lang w:val="en-GB" w:eastAsia="fr-FR"/>
    </w:rPr>
  </w:style>
  <w:style w:type="paragraph" w:customStyle="1" w:styleId="JuPara">
    <w:name w:val="Ju_Para"/>
    <w:aliases w:val="Left,First line:  0 cm,ECHR_Para"/>
    <w:basedOn w:val="NormalTimesNewRoman"/>
    <w:link w:val="JuParaChar"/>
    <w:uiPriority w:val="12"/>
    <w:qFormat/>
    <w:rsid w:val="008C47E1"/>
    <w:pPr>
      <w:ind w:firstLine="284"/>
      <w:jc w:val="both"/>
    </w:pPr>
  </w:style>
  <w:style w:type="character" w:customStyle="1" w:styleId="JuParaChar">
    <w:name w:val="Ju_Para Char"/>
    <w:link w:val="JuPara"/>
    <w:rsid w:val="008C47E1"/>
    <w:rPr>
      <w:sz w:val="24"/>
      <w:lang w:val="en-GB" w:eastAsia="fr-FR" w:bidi="ar-SA"/>
    </w:rPr>
  </w:style>
  <w:style w:type="character" w:customStyle="1" w:styleId="JuHIRomanChar">
    <w:name w:val="Ju_H_I_Roman Char"/>
    <w:link w:val="JuHIRoman"/>
    <w:rsid w:val="008C47E1"/>
    <w:rPr>
      <w:sz w:val="24"/>
      <w:lang w:val="en-GB" w:eastAsia="fr-FR" w:bidi="ar-SA"/>
    </w:rPr>
  </w:style>
  <w:style w:type="paragraph" w:customStyle="1" w:styleId="OpiPara">
    <w:name w:val="Opi_Para"/>
    <w:basedOn w:val="JuPara"/>
    <w:rsid w:val="008C47E1"/>
  </w:style>
  <w:style w:type="character" w:customStyle="1" w:styleId="DefaultTimesNewRoman">
    <w:name w:val="Default_TimesNewRoman"/>
    <w:rsid w:val="008C47E1"/>
    <w:rPr>
      <w:rFonts w:ascii="Times New Roman" w:hAnsi="Times New Roman"/>
    </w:rPr>
  </w:style>
  <w:style w:type="paragraph" w:customStyle="1" w:styleId="OpiH1">
    <w:name w:val="Opi_H_1."/>
    <w:basedOn w:val="OpiHA"/>
    <w:next w:val="OpiPara"/>
    <w:rsid w:val="008C47E1"/>
    <w:pPr>
      <w:spacing w:before="240" w:after="120"/>
      <w:ind w:left="635"/>
      <w:outlineLvl w:val="2"/>
    </w:pPr>
    <w:rPr>
      <w:b w:val="0"/>
      <w:i/>
    </w:rPr>
  </w:style>
  <w:style w:type="paragraph" w:customStyle="1" w:styleId="OpiHa0">
    <w:name w:val="Opi_H_a"/>
    <w:basedOn w:val="OpiH1"/>
    <w:next w:val="OpiPara"/>
    <w:rsid w:val="008C47E1"/>
    <w:pPr>
      <w:ind w:left="833"/>
      <w:outlineLvl w:val="3"/>
    </w:pPr>
    <w:rPr>
      <w:b/>
      <w:i w:val="0"/>
      <w:sz w:val="20"/>
    </w:rPr>
  </w:style>
  <w:style w:type="paragraph" w:customStyle="1" w:styleId="OpiHHead">
    <w:name w:val="Opi_H_Head"/>
    <w:basedOn w:val="JuHHead"/>
    <w:next w:val="OpiPara"/>
    <w:rsid w:val="008C47E1"/>
    <w:pPr>
      <w:spacing w:before="0"/>
      <w:jc w:val="center"/>
    </w:pPr>
  </w:style>
  <w:style w:type="paragraph" w:customStyle="1" w:styleId="OpiHi">
    <w:name w:val="Opi_H_i"/>
    <w:basedOn w:val="OpiHa0"/>
    <w:next w:val="OpiPara"/>
    <w:rsid w:val="008C47E1"/>
    <w:pPr>
      <w:ind w:left="1037"/>
      <w:outlineLvl w:val="4"/>
    </w:pPr>
    <w:rPr>
      <w:b w:val="0"/>
      <w:i/>
    </w:rPr>
  </w:style>
  <w:style w:type="paragraph" w:styleId="Footer">
    <w:name w:val="footer"/>
    <w:basedOn w:val="NormalTimesNewRoman"/>
    <w:rsid w:val="008C47E1"/>
    <w:pPr>
      <w:tabs>
        <w:tab w:val="center" w:pos="3686"/>
        <w:tab w:val="right" w:pos="7371"/>
      </w:tabs>
    </w:pPr>
    <w:rPr>
      <w:sz w:val="18"/>
    </w:rPr>
  </w:style>
  <w:style w:type="paragraph" w:customStyle="1" w:styleId="JuJudges">
    <w:name w:val="Ju_Judges"/>
    <w:aliases w:val="ECHR_Decision_Body"/>
    <w:basedOn w:val="NormalTimesNewRoman"/>
    <w:link w:val="JuJudgesChar"/>
    <w:uiPriority w:val="11"/>
    <w:qFormat/>
    <w:rsid w:val="008C47E1"/>
    <w:pPr>
      <w:tabs>
        <w:tab w:val="left" w:pos="567"/>
        <w:tab w:val="left" w:pos="1134"/>
      </w:tabs>
    </w:pPr>
  </w:style>
  <w:style w:type="character" w:customStyle="1" w:styleId="JuJudgesChar">
    <w:name w:val="Ju_Judges Char"/>
    <w:link w:val="JuJudges"/>
    <w:uiPriority w:val="11"/>
    <w:locked/>
    <w:rsid w:val="008C47E1"/>
    <w:rPr>
      <w:sz w:val="24"/>
      <w:lang w:val="en-GB" w:eastAsia="fr-FR" w:bidi="ar-SA"/>
    </w:rPr>
  </w:style>
  <w:style w:type="paragraph" w:customStyle="1" w:styleId="JuHA">
    <w:name w:val="Ju_H_A"/>
    <w:basedOn w:val="JuHIRoman"/>
    <w:next w:val="JuPara"/>
    <w:link w:val="JuHAChar"/>
    <w:rsid w:val="008C47E1"/>
    <w:pPr>
      <w:tabs>
        <w:tab w:val="clear" w:pos="357"/>
        <w:tab w:val="left" w:pos="584"/>
      </w:tabs>
      <w:ind w:left="584" w:hanging="352"/>
      <w:outlineLvl w:val="2"/>
    </w:pPr>
    <w:rPr>
      <w:b/>
    </w:rPr>
  </w:style>
  <w:style w:type="character" w:customStyle="1" w:styleId="JuHAChar">
    <w:name w:val="Ju_H_A Char"/>
    <w:link w:val="JuHA"/>
    <w:rsid w:val="008C47E1"/>
    <w:rPr>
      <w:b/>
      <w:sz w:val="24"/>
      <w:lang w:val="en-GB" w:eastAsia="fr-FR" w:bidi="ar-SA"/>
    </w:rPr>
  </w:style>
  <w:style w:type="paragraph" w:customStyle="1" w:styleId="JuQuot">
    <w:name w:val="Ju_Quot"/>
    <w:basedOn w:val="JuPara"/>
    <w:rsid w:val="008C47E1"/>
    <w:pPr>
      <w:spacing w:before="120" w:after="120"/>
      <w:ind w:left="425" w:firstLine="142"/>
    </w:pPr>
    <w:rPr>
      <w:sz w:val="20"/>
    </w:rPr>
  </w:style>
  <w:style w:type="paragraph" w:customStyle="1" w:styleId="JuSigned">
    <w:name w:val="Ju_Signed"/>
    <w:basedOn w:val="NormalTimesNewRoman"/>
    <w:next w:val="JuParaLast"/>
    <w:link w:val="JuSignedChar"/>
    <w:rsid w:val="008C47E1"/>
    <w:pPr>
      <w:tabs>
        <w:tab w:val="center" w:pos="851"/>
        <w:tab w:val="center" w:pos="6407"/>
      </w:tabs>
      <w:spacing w:before="720"/>
    </w:pPr>
  </w:style>
  <w:style w:type="paragraph" w:customStyle="1" w:styleId="JuParaLast">
    <w:name w:val="Ju_Para_Last"/>
    <w:basedOn w:val="JuPara"/>
    <w:next w:val="JuPara"/>
    <w:rsid w:val="008C47E1"/>
    <w:pPr>
      <w:keepNext/>
      <w:keepLines/>
      <w:spacing w:before="240"/>
    </w:pPr>
  </w:style>
  <w:style w:type="character" w:customStyle="1" w:styleId="JuSignedChar">
    <w:name w:val="Ju_Signed Char"/>
    <w:link w:val="JuSigned"/>
    <w:rsid w:val="008C47E1"/>
    <w:rPr>
      <w:sz w:val="24"/>
      <w:lang w:val="en-GB" w:eastAsia="fr-FR" w:bidi="ar-SA"/>
    </w:rPr>
  </w:style>
  <w:style w:type="paragraph" w:customStyle="1" w:styleId="JuCase">
    <w:name w:val="Ju_Case"/>
    <w:basedOn w:val="JuPara"/>
    <w:next w:val="JuPara"/>
    <w:link w:val="JuCaseChar"/>
    <w:rsid w:val="008C47E1"/>
    <w:rPr>
      <w:b/>
    </w:rPr>
  </w:style>
  <w:style w:type="character" w:customStyle="1" w:styleId="JuCaseChar">
    <w:name w:val="Ju_Case Char"/>
    <w:link w:val="JuCase"/>
    <w:rsid w:val="008C47E1"/>
    <w:rPr>
      <w:b/>
      <w:sz w:val="24"/>
      <w:lang w:val="en-GB" w:eastAsia="fr-FR" w:bidi="ar-SA"/>
    </w:rPr>
  </w:style>
  <w:style w:type="paragraph" w:customStyle="1" w:styleId="JuList">
    <w:name w:val="Ju_List"/>
    <w:basedOn w:val="JuPara"/>
    <w:link w:val="JuListChar"/>
    <w:rsid w:val="008C47E1"/>
    <w:pPr>
      <w:ind w:left="340" w:hanging="340"/>
    </w:pPr>
  </w:style>
  <w:style w:type="character" w:customStyle="1" w:styleId="JuListChar">
    <w:name w:val="Ju_List Char"/>
    <w:link w:val="JuList"/>
    <w:rsid w:val="008C47E1"/>
    <w:rPr>
      <w:sz w:val="24"/>
      <w:lang w:val="en-GB" w:eastAsia="fr-FR" w:bidi="ar-SA"/>
    </w:rPr>
  </w:style>
  <w:style w:type="paragraph" w:customStyle="1" w:styleId="JuHArticle">
    <w:name w:val="Ju_H_Article"/>
    <w:basedOn w:val="JuHa0"/>
    <w:next w:val="JuQuot"/>
    <w:rsid w:val="008C47E1"/>
    <w:pPr>
      <w:ind w:left="0" w:firstLine="0"/>
      <w:jc w:val="center"/>
    </w:pPr>
  </w:style>
  <w:style w:type="paragraph" w:customStyle="1" w:styleId="JuHa0">
    <w:name w:val="Ju_H_a"/>
    <w:basedOn w:val="JuH1"/>
    <w:next w:val="JuPara"/>
    <w:rsid w:val="008C47E1"/>
    <w:pPr>
      <w:tabs>
        <w:tab w:val="clear" w:pos="731"/>
        <w:tab w:val="left" w:pos="975"/>
      </w:tabs>
      <w:ind w:left="975" w:hanging="340"/>
      <w:outlineLvl w:val="4"/>
    </w:pPr>
    <w:rPr>
      <w:b/>
      <w:i w:val="0"/>
      <w:sz w:val="20"/>
    </w:rPr>
  </w:style>
  <w:style w:type="paragraph" w:customStyle="1" w:styleId="JuH1">
    <w:name w:val="Ju_H_1."/>
    <w:basedOn w:val="JuHA"/>
    <w:next w:val="JuPara"/>
    <w:rsid w:val="008C47E1"/>
    <w:pPr>
      <w:tabs>
        <w:tab w:val="clear" w:pos="584"/>
        <w:tab w:val="left" w:pos="731"/>
      </w:tabs>
      <w:spacing w:before="240" w:after="120"/>
      <w:ind w:left="732" w:hanging="301"/>
      <w:outlineLvl w:val="3"/>
    </w:pPr>
    <w:rPr>
      <w:b w:val="0"/>
      <w:i/>
    </w:rPr>
  </w:style>
  <w:style w:type="paragraph" w:customStyle="1" w:styleId="JuQuotList">
    <w:name w:val="Ju_Quot_List"/>
    <w:basedOn w:val="JuQuot"/>
    <w:rsid w:val="008C47E1"/>
    <w:pPr>
      <w:tabs>
        <w:tab w:val="left" w:pos="1021"/>
      </w:tabs>
      <w:ind w:left="567" w:firstLine="0"/>
    </w:pPr>
  </w:style>
  <w:style w:type="paragraph" w:customStyle="1" w:styleId="JuCourt">
    <w:name w:val="Ju_Court"/>
    <w:basedOn w:val="JuJudges"/>
    <w:rsid w:val="008C47E1"/>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8C47E1"/>
  </w:style>
  <w:style w:type="paragraph" w:customStyle="1" w:styleId="OpiTranslation">
    <w:name w:val="Opi_Translation"/>
    <w:basedOn w:val="OpiHHead"/>
    <w:next w:val="OpiPara"/>
    <w:rsid w:val="008C47E1"/>
    <w:rPr>
      <w:i/>
      <w:sz w:val="24"/>
    </w:rPr>
  </w:style>
  <w:style w:type="paragraph" w:customStyle="1" w:styleId="JuHi">
    <w:name w:val="Ju_H_i"/>
    <w:basedOn w:val="JuHa0"/>
    <w:next w:val="JuPara"/>
    <w:rsid w:val="008C47E1"/>
    <w:pPr>
      <w:tabs>
        <w:tab w:val="clear" w:pos="975"/>
        <w:tab w:val="left" w:pos="1191"/>
      </w:tabs>
      <w:ind w:left="1190" w:hanging="357"/>
      <w:outlineLvl w:val="5"/>
    </w:pPr>
    <w:rPr>
      <w:b w:val="0"/>
      <w:i/>
    </w:rPr>
  </w:style>
  <w:style w:type="paragraph" w:styleId="Header">
    <w:name w:val="header"/>
    <w:basedOn w:val="NormalTimesNewRoman"/>
    <w:rsid w:val="008C47E1"/>
    <w:pPr>
      <w:tabs>
        <w:tab w:val="center" w:pos="3686"/>
        <w:tab w:val="right" w:pos="7371"/>
      </w:tabs>
    </w:pPr>
    <w:rPr>
      <w:sz w:val="18"/>
    </w:rPr>
  </w:style>
  <w:style w:type="character" w:styleId="PageNumber">
    <w:name w:val="page number"/>
    <w:rsid w:val="008C47E1"/>
    <w:rPr>
      <w:sz w:val="18"/>
    </w:rPr>
  </w:style>
  <w:style w:type="paragraph" w:customStyle="1" w:styleId="JuH">
    <w:name w:val="Ju_H_–"/>
    <w:basedOn w:val="JuHalpha"/>
    <w:next w:val="JuPara"/>
    <w:rsid w:val="008C47E1"/>
    <w:pPr>
      <w:tabs>
        <w:tab w:val="clear" w:pos="1372"/>
      </w:tabs>
      <w:ind w:left="1236" w:firstLine="0"/>
    </w:pPr>
    <w:rPr>
      <w:i/>
    </w:rPr>
  </w:style>
  <w:style w:type="paragraph" w:customStyle="1" w:styleId="JuHalpha">
    <w:name w:val="Ju_H_alpha"/>
    <w:basedOn w:val="JuHi"/>
    <w:next w:val="JuPara"/>
    <w:rsid w:val="008C47E1"/>
    <w:pPr>
      <w:tabs>
        <w:tab w:val="clear" w:pos="1191"/>
        <w:tab w:val="left" w:pos="1372"/>
      </w:tabs>
      <w:ind w:left="1373" w:hanging="335"/>
    </w:pPr>
    <w:rPr>
      <w:i w:val="0"/>
    </w:rPr>
  </w:style>
  <w:style w:type="paragraph" w:customStyle="1" w:styleId="JuLista">
    <w:name w:val="Ju_List_a"/>
    <w:basedOn w:val="JuList"/>
    <w:rsid w:val="008C47E1"/>
    <w:pPr>
      <w:ind w:left="346" w:firstLine="0"/>
    </w:pPr>
  </w:style>
  <w:style w:type="paragraph" w:customStyle="1" w:styleId="JuListi">
    <w:name w:val="Ju_List_i"/>
    <w:basedOn w:val="JuLista"/>
    <w:rsid w:val="008C47E1"/>
    <w:pPr>
      <w:ind w:left="794"/>
    </w:pPr>
  </w:style>
  <w:style w:type="paragraph" w:customStyle="1" w:styleId="JuInitialled">
    <w:name w:val="Ju_Initialled"/>
    <w:basedOn w:val="JuSigned"/>
    <w:rsid w:val="008C47E1"/>
    <w:pPr>
      <w:tabs>
        <w:tab w:val="clear" w:pos="851"/>
      </w:tabs>
      <w:jc w:val="right"/>
    </w:pPr>
  </w:style>
  <w:style w:type="paragraph" w:customStyle="1" w:styleId="JuHeader">
    <w:name w:val="Ju_Header"/>
    <w:basedOn w:val="Header"/>
    <w:rsid w:val="008C47E1"/>
  </w:style>
  <w:style w:type="paragraph" w:customStyle="1" w:styleId="DecHTitle">
    <w:name w:val="Dec_H_Title"/>
    <w:basedOn w:val="Normal"/>
    <w:rsid w:val="008C47E1"/>
    <w:pPr>
      <w:spacing w:after="240"/>
      <w:jc w:val="center"/>
      <w:outlineLvl w:val="0"/>
    </w:pPr>
    <w:rPr>
      <w:sz w:val="28"/>
    </w:rPr>
  </w:style>
  <w:style w:type="paragraph" w:customStyle="1" w:styleId="DecHCase">
    <w:name w:val="Dec_H_Case"/>
    <w:basedOn w:val="DecHTitle"/>
    <w:next w:val="JuPara"/>
    <w:rsid w:val="008C47E1"/>
    <w:rPr>
      <w:sz w:val="24"/>
    </w:rPr>
  </w:style>
  <w:style w:type="paragraph" w:customStyle="1" w:styleId="DecList">
    <w:name w:val="Dec_List"/>
    <w:basedOn w:val="Normal"/>
    <w:rsid w:val="008C47E1"/>
    <w:pPr>
      <w:spacing w:before="240"/>
      <w:ind w:left="284"/>
      <w:jc w:val="both"/>
    </w:pPr>
  </w:style>
  <w:style w:type="paragraph" w:customStyle="1" w:styleId="JuParaSub">
    <w:name w:val="Ju_Para_Sub"/>
    <w:basedOn w:val="JuPara"/>
    <w:rsid w:val="008C47E1"/>
    <w:pPr>
      <w:ind w:left="284"/>
    </w:pPr>
    <w:rPr>
      <w:szCs w:val="24"/>
    </w:rPr>
  </w:style>
  <w:style w:type="paragraph" w:customStyle="1" w:styleId="JuQuotSub">
    <w:name w:val="Ju_Quot_Sub"/>
    <w:basedOn w:val="JuQuot"/>
    <w:rsid w:val="008C47E1"/>
    <w:pPr>
      <w:ind w:left="567"/>
    </w:pPr>
  </w:style>
  <w:style w:type="character" w:styleId="FollowedHyperlink">
    <w:name w:val="FollowedHyperlink"/>
    <w:rsid w:val="008C47E1"/>
    <w:rPr>
      <w:color w:val="800080"/>
      <w:u w:val="single"/>
    </w:rPr>
  </w:style>
  <w:style w:type="paragraph" w:customStyle="1" w:styleId="SuCoverTitle1">
    <w:name w:val="Su_Cover_Title1"/>
    <w:basedOn w:val="Normal"/>
    <w:next w:val="SuCoverTitle2"/>
    <w:rsid w:val="008C47E1"/>
    <w:pPr>
      <w:spacing w:before="2500"/>
      <w:jc w:val="center"/>
    </w:pPr>
    <w:rPr>
      <w:sz w:val="22"/>
    </w:rPr>
  </w:style>
  <w:style w:type="paragraph" w:customStyle="1" w:styleId="SuCoverTitle2">
    <w:name w:val="Su_Cover_Title2"/>
    <w:basedOn w:val="SuCoverTitle1"/>
    <w:next w:val="Normal"/>
    <w:rsid w:val="008C47E1"/>
    <w:pPr>
      <w:spacing w:before="240"/>
    </w:pPr>
    <w:rPr>
      <w:sz w:val="18"/>
    </w:rPr>
  </w:style>
  <w:style w:type="paragraph" w:customStyle="1" w:styleId="SuPara">
    <w:name w:val="Su_Para"/>
    <w:basedOn w:val="SuKeywords"/>
    <w:rsid w:val="008C47E1"/>
    <w:pPr>
      <w:spacing w:before="0" w:after="0"/>
    </w:pPr>
    <w:rPr>
      <w:i w:val="0"/>
    </w:rPr>
  </w:style>
  <w:style w:type="paragraph" w:customStyle="1" w:styleId="SuKeywords">
    <w:name w:val="Su_Keywords"/>
    <w:basedOn w:val="SuHHead"/>
    <w:rsid w:val="008C47E1"/>
    <w:pPr>
      <w:spacing w:before="120"/>
    </w:pPr>
    <w:rPr>
      <w:b w:val="0"/>
      <w:i/>
    </w:rPr>
  </w:style>
  <w:style w:type="paragraph" w:customStyle="1" w:styleId="SuHHead">
    <w:name w:val="Su_H_Head"/>
    <w:basedOn w:val="SuSubject"/>
    <w:rsid w:val="008C47E1"/>
    <w:pPr>
      <w:spacing w:after="120"/>
    </w:pPr>
  </w:style>
  <w:style w:type="paragraph" w:customStyle="1" w:styleId="SuSubject">
    <w:name w:val="Su_Subject"/>
    <w:basedOn w:val="SuSummary"/>
    <w:rsid w:val="008C47E1"/>
    <w:pPr>
      <w:suppressAutoHyphens w:val="0"/>
      <w:spacing w:before="360"/>
      <w:jc w:val="both"/>
    </w:pPr>
    <w:rPr>
      <w:b/>
      <w:sz w:val="22"/>
    </w:rPr>
  </w:style>
  <w:style w:type="paragraph" w:customStyle="1" w:styleId="SuSummary">
    <w:name w:val="Su_Summary"/>
    <w:basedOn w:val="Normal"/>
    <w:next w:val="SuSubject"/>
    <w:rsid w:val="008C47E1"/>
    <w:pPr>
      <w:spacing w:after="240"/>
      <w:jc w:val="center"/>
    </w:pPr>
  </w:style>
  <w:style w:type="paragraph" w:customStyle="1" w:styleId="OpiParaSub">
    <w:name w:val="Opi_Para_Sub"/>
    <w:basedOn w:val="JuParaSub"/>
    <w:rsid w:val="008C47E1"/>
  </w:style>
  <w:style w:type="paragraph" w:customStyle="1" w:styleId="OpiQuotSub">
    <w:name w:val="Opi_Quot_Sub"/>
    <w:basedOn w:val="JuQuotSub"/>
    <w:rsid w:val="008C47E1"/>
  </w:style>
  <w:style w:type="character" w:styleId="Hyperlink">
    <w:name w:val="Hyperlink"/>
    <w:rsid w:val="008C47E1"/>
    <w:rPr>
      <w:color w:val="0000FF"/>
      <w:u w:val="single"/>
    </w:rPr>
  </w:style>
  <w:style w:type="character" w:styleId="Strong">
    <w:name w:val="Strong"/>
    <w:qFormat/>
    <w:rsid w:val="008C47E1"/>
    <w:rPr>
      <w:b/>
      <w:bCs/>
    </w:rPr>
  </w:style>
  <w:style w:type="character" w:customStyle="1" w:styleId="JuNames">
    <w:name w:val="Ju_Names"/>
    <w:rsid w:val="008C47E1"/>
    <w:rPr>
      <w:smallCaps/>
    </w:rPr>
  </w:style>
  <w:style w:type="paragraph" w:customStyle="1" w:styleId="NormalJustified">
    <w:name w:val="Normal_Justified"/>
    <w:basedOn w:val="Normal"/>
    <w:rsid w:val="008C47E1"/>
    <w:pPr>
      <w:jc w:val="both"/>
    </w:pPr>
  </w:style>
  <w:style w:type="paragraph" w:customStyle="1" w:styleId="JuAppQuestion">
    <w:name w:val="Ju_App_Question"/>
    <w:basedOn w:val="ListBullet"/>
    <w:rsid w:val="008C47E1"/>
    <w:pPr>
      <w:numPr>
        <w:numId w:val="3"/>
      </w:numPr>
      <w:suppressAutoHyphens w:val="0"/>
    </w:pPr>
    <w:rPr>
      <w:b/>
      <w:color w:val="333333"/>
    </w:rPr>
  </w:style>
  <w:style w:type="paragraph" w:styleId="ListBullet">
    <w:name w:val="List Bullet"/>
    <w:basedOn w:val="Normal"/>
    <w:rsid w:val="008C47E1"/>
    <w:pPr>
      <w:numPr>
        <w:numId w:val="2"/>
      </w:numPr>
    </w:pPr>
  </w:style>
  <w:style w:type="character" w:customStyle="1" w:styleId="JuITMark">
    <w:name w:val="Ju_ITMark"/>
    <w:rsid w:val="008C47E1"/>
    <w:rPr>
      <w:rFonts w:ascii="Times New Roman" w:hAnsi="Times New Roman"/>
      <w:vanish/>
      <w:color w:val="339966"/>
      <w:sz w:val="16"/>
      <w:szCs w:val="16"/>
      <w:lang w:val="fi-FI"/>
    </w:rPr>
  </w:style>
  <w:style w:type="paragraph" w:customStyle="1" w:styleId="JuTitle">
    <w:name w:val="Ju_Title"/>
    <w:basedOn w:val="JuHHead"/>
    <w:next w:val="JuPara"/>
    <w:rsid w:val="008C47E1"/>
    <w:pPr>
      <w:jc w:val="center"/>
    </w:pPr>
    <w:rPr>
      <w:b/>
      <w:caps/>
      <w:sz w:val="24"/>
      <w:szCs w:val="24"/>
      <w:u w:val="single"/>
    </w:rPr>
  </w:style>
  <w:style w:type="character" w:customStyle="1" w:styleId="JuParaCar">
    <w:name w:val="Ju_Para Car"/>
    <w:uiPriority w:val="12"/>
    <w:rsid w:val="008C47E1"/>
    <w:rPr>
      <w:sz w:val="24"/>
      <w:lang w:val="en-GB" w:eastAsia="fr-FR" w:bidi="ar-SA"/>
    </w:rPr>
  </w:style>
  <w:style w:type="character" w:customStyle="1" w:styleId="sb8d990e2">
    <w:name w:val="sb8d990e2"/>
    <w:basedOn w:val="DefaultParagraphFont"/>
    <w:rsid w:val="008C47E1"/>
  </w:style>
  <w:style w:type="character" w:customStyle="1" w:styleId="wordhighlighted">
    <w:name w:val="wordhighlighted"/>
    <w:basedOn w:val="DefaultParagraphFont"/>
    <w:rsid w:val="008C47E1"/>
  </w:style>
  <w:style w:type="character" w:customStyle="1" w:styleId="s6b621b36">
    <w:name w:val="s6b621b36"/>
    <w:basedOn w:val="DefaultParagraphFont"/>
    <w:rsid w:val="008C47E1"/>
  </w:style>
  <w:style w:type="character" w:customStyle="1" w:styleId="sea881cdfhasverticalalignsuper">
    <w:name w:val="sea881cdf hasverticalalignsuper"/>
    <w:basedOn w:val="DefaultParagraphFont"/>
    <w:rsid w:val="008C47E1"/>
  </w:style>
  <w:style w:type="character" w:customStyle="1" w:styleId="wordhighlightedcurrentterm">
    <w:name w:val="wordhighlighted currentterm"/>
    <w:basedOn w:val="DefaultParagraphFont"/>
    <w:rsid w:val="008C47E1"/>
  </w:style>
  <w:style w:type="paragraph" w:customStyle="1" w:styleId="s30eec3f8">
    <w:name w:val="s30eec3f8"/>
    <w:basedOn w:val="Normal"/>
    <w:rsid w:val="008C47E1"/>
    <w:pPr>
      <w:suppressAutoHyphens w:val="0"/>
      <w:spacing w:before="100" w:beforeAutospacing="1" w:after="100" w:afterAutospacing="1"/>
    </w:pPr>
    <w:rPr>
      <w:szCs w:val="24"/>
      <w:lang w:eastAsia="en-GB"/>
    </w:rPr>
  </w:style>
  <w:style w:type="character" w:customStyle="1" w:styleId="ju-005fpara-002cleft-002cfirst-0020line-003a-0020-00200-0020cm--char">
    <w:name w:val="ju-005fpara-002cleft-002cfirst-0020line-003a-0020-00200-0020cm--char"/>
    <w:basedOn w:val="DefaultParagraphFont"/>
    <w:rsid w:val="008C47E1"/>
  </w:style>
  <w:style w:type="character" w:customStyle="1" w:styleId="ju--------005fpara--------002cleft--------002cfirst--------0020line--------003a--------0020--------00200--------0020cm----------------char--------char----char--char">
    <w:name w:val="ju--------005fpara--------002cleft--------002cfirst--------0020line--------003a--------0020--------00200--------0020cm----------------char--------char----char--char"/>
    <w:basedOn w:val="DefaultParagraphFont"/>
    <w:rsid w:val="008C47E1"/>
  </w:style>
  <w:style w:type="character" w:customStyle="1" w:styleId="ju----------------005fpara--------------------------------char----------------char--------char----char--char">
    <w:name w:val="ju----------------005fpara--------------------------------char----------------char--------char----char--char"/>
    <w:basedOn w:val="DefaultParagraphFont"/>
    <w:rsid w:val="008C47E1"/>
  </w:style>
  <w:style w:type="character" w:customStyle="1" w:styleId="ju-005fpara--char">
    <w:name w:val="ju-005fpara--char"/>
    <w:basedOn w:val="DefaultParagraphFont"/>
    <w:rsid w:val="008C47E1"/>
  </w:style>
  <w:style w:type="character" w:customStyle="1" w:styleId="libtrombi11">
    <w:name w:val="libtrombi11"/>
    <w:basedOn w:val="DefaultParagraphFont"/>
    <w:rsid w:val="008C47E1"/>
  </w:style>
  <w:style w:type="paragraph" w:styleId="BalloonText">
    <w:name w:val="Balloon Text"/>
    <w:basedOn w:val="Normal"/>
    <w:semiHidden/>
    <w:rsid w:val="004A4D10"/>
    <w:rPr>
      <w:rFonts w:ascii="Tahoma" w:hAnsi="Tahoma" w:cs="Tahoma"/>
      <w:sz w:val="16"/>
      <w:szCs w:val="16"/>
    </w:rPr>
  </w:style>
  <w:style w:type="character" w:styleId="CommentReference">
    <w:name w:val="annotation reference"/>
    <w:semiHidden/>
    <w:rsid w:val="007D1BFF"/>
    <w:rPr>
      <w:sz w:val="16"/>
      <w:szCs w:val="16"/>
    </w:rPr>
  </w:style>
  <w:style w:type="paragraph" w:styleId="CommentText">
    <w:name w:val="annotation text"/>
    <w:basedOn w:val="Normal"/>
    <w:semiHidden/>
    <w:rsid w:val="007D1BFF"/>
    <w:rPr>
      <w:sz w:val="20"/>
    </w:rPr>
  </w:style>
  <w:style w:type="paragraph" w:styleId="CommentSubject">
    <w:name w:val="annotation subject"/>
    <w:basedOn w:val="CommentText"/>
    <w:next w:val="CommentText"/>
    <w:semiHidden/>
    <w:rsid w:val="007D1BFF"/>
    <w:rPr>
      <w:b/>
      <w:bCs/>
    </w:rPr>
  </w:style>
  <w:style w:type="character" w:customStyle="1" w:styleId="ju--005fpara----char--char">
    <w:name w:val="ju--005fpara----char--char"/>
    <w:rsid w:val="003335A5"/>
  </w:style>
  <w:style w:type="paragraph" w:styleId="FootnoteText">
    <w:name w:val="footnote text"/>
    <w:basedOn w:val="Normal"/>
    <w:link w:val="FootnoteTextChar"/>
    <w:rsid w:val="00122C5F"/>
    <w:rPr>
      <w:sz w:val="20"/>
    </w:rPr>
  </w:style>
  <w:style w:type="character" w:customStyle="1" w:styleId="FootnoteTextChar">
    <w:name w:val="Footnote Text Char"/>
    <w:link w:val="FootnoteText"/>
    <w:rsid w:val="00122C5F"/>
    <w:rPr>
      <w:lang w:val="en-GB" w:eastAsia="fr-FR"/>
    </w:rPr>
  </w:style>
  <w:style w:type="character" w:styleId="FootnoteReference">
    <w:name w:val="footnote reference"/>
    <w:rsid w:val="00122C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B8C"/>
    <w:pPr>
      <w:suppressAutoHyphens/>
    </w:pPr>
    <w:rPr>
      <w:sz w:val="24"/>
      <w:lang w:val="en-GB" w:eastAsia="fr-FR"/>
    </w:rPr>
  </w:style>
  <w:style w:type="paragraph" w:styleId="Heading1">
    <w:name w:val="heading 1"/>
    <w:basedOn w:val="Normal"/>
    <w:next w:val="Normal"/>
    <w:qFormat/>
    <w:rsid w:val="008C47E1"/>
    <w:pPr>
      <w:keepNext/>
      <w:spacing w:before="360" w:after="240"/>
      <w:jc w:val="center"/>
      <w:outlineLvl w:val="0"/>
    </w:pPr>
    <w:rPr>
      <w:b/>
      <w:sz w:val="28"/>
    </w:rPr>
  </w:style>
  <w:style w:type="paragraph" w:styleId="Heading2">
    <w:name w:val="heading 2"/>
    <w:basedOn w:val="Normal"/>
    <w:next w:val="Normal"/>
    <w:qFormat/>
    <w:rsid w:val="008C47E1"/>
    <w:pPr>
      <w:keepNext/>
      <w:spacing w:before="240" w:after="120"/>
      <w:ind w:left="284" w:hanging="284"/>
      <w:outlineLvl w:val="1"/>
    </w:pPr>
    <w:rPr>
      <w:b/>
    </w:rPr>
  </w:style>
  <w:style w:type="paragraph" w:styleId="Heading3">
    <w:name w:val="heading 3"/>
    <w:basedOn w:val="Normal"/>
    <w:next w:val="Normal"/>
    <w:qFormat/>
    <w:rsid w:val="008C47E1"/>
    <w:pPr>
      <w:keepNext/>
      <w:spacing w:before="120" w:after="60"/>
      <w:ind w:left="1418" w:hanging="851"/>
      <w:outlineLvl w:val="2"/>
    </w:pPr>
    <w:rPr>
      <w:i/>
    </w:rPr>
  </w:style>
  <w:style w:type="paragraph" w:styleId="Heading4">
    <w:name w:val="heading 4"/>
    <w:basedOn w:val="Normal"/>
    <w:next w:val="Normal"/>
    <w:qFormat/>
    <w:rsid w:val="008C47E1"/>
    <w:pPr>
      <w:widowControl w:val="0"/>
      <w:outlineLvl w:val="3"/>
    </w:pPr>
    <w:rPr>
      <w:rFonts w:ascii="Courier" w:hAnsi="Courier"/>
      <w:snapToGrid w:val="0"/>
      <w:lang w:val="en-US" w:eastAsia="en-US"/>
    </w:rPr>
  </w:style>
  <w:style w:type="paragraph" w:styleId="Heading5">
    <w:name w:val="heading 5"/>
    <w:basedOn w:val="Normal"/>
    <w:next w:val="Normal"/>
    <w:qFormat/>
    <w:rsid w:val="008C47E1"/>
    <w:pPr>
      <w:widowControl w:val="0"/>
      <w:outlineLvl w:val="4"/>
    </w:pPr>
    <w:rPr>
      <w:rFonts w:ascii="Courier" w:hAnsi="Courier"/>
      <w:snapToGrid w:val="0"/>
      <w:lang w:val="en-US" w:eastAsia="en-US"/>
    </w:rPr>
  </w:style>
  <w:style w:type="paragraph" w:styleId="Heading6">
    <w:name w:val="heading 6"/>
    <w:basedOn w:val="Normal"/>
    <w:next w:val="Normal"/>
    <w:qFormat/>
    <w:rsid w:val="008C47E1"/>
    <w:pPr>
      <w:widowControl w:val="0"/>
      <w:outlineLvl w:val="5"/>
    </w:pPr>
    <w:rPr>
      <w:rFonts w:ascii="Courier" w:hAnsi="Courier"/>
      <w:snapToGrid w:val="0"/>
      <w:lang w:val="en-US" w:eastAsia="en-US"/>
    </w:rPr>
  </w:style>
  <w:style w:type="paragraph" w:styleId="Heading7">
    <w:name w:val="heading 7"/>
    <w:basedOn w:val="Normal"/>
    <w:next w:val="Normal"/>
    <w:qFormat/>
    <w:rsid w:val="008C47E1"/>
    <w:pPr>
      <w:widowControl w:val="0"/>
      <w:outlineLvl w:val="6"/>
    </w:pPr>
    <w:rPr>
      <w:rFonts w:ascii="Courier" w:hAnsi="Courier"/>
      <w:snapToGrid w:val="0"/>
      <w:lang w:val="en-US" w:eastAsia="en-US"/>
    </w:rPr>
  </w:style>
  <w:style w:type="paragraph" w:styleId="Heading8">
    <w:name w:val="heading 8"/>
    <w:basedOn w:val="Normal"/>
    <w:next w:val="Normal"/>
    <w:qFormat/>
    <w:rsid w:val="008C47E1"/>
    <w:pPr>
      <w:widowControl w:val="0"/>
      <w:outlineLvl w:val="7"/>
    </w:pPr>
    <w:rPr>
      <w:rFonts w:ascii="Courier" w:hAnsi="Courier"/>
      <w:snapToGrid w:val="0"/>
      <w:lang w:val="en-US" w:eastAsia="en-US"/>
    </w:rPr>
  </w:style>
  <w:style w:type="paragraph" w:styleId="Heading9">
    <w:name w:val="heading 9"/>
    <w:basedOn w:val="Normal"/>
    <w:next w:val="Normal"/>
    <w:qFormat/>
    <w:rsid w:val="008C47E1"/>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piHA">
    <w:name w:val="Opi_H_A"/>
    <w:basedOn w:val="JuHIRoman"/>
    <w:next w:val="OpiPara"/>
    <w:rsid w:val="008C47E1"/>
    <w:pPr>
      <w:tabs>
        <w:tab w:val="clear" w:pos="357"/>
      </w:tabs>
    </w:pPr>
    <w:rPr>
      <w:b/>
    </w:rPr>
  </w:style>
  <w:style w:type="paragraph" w:customStyle="1" w:styleId="JuHIRoman">
    <w:name w:val="Ju_H_I_Roman"/>
    <w:basedOn w:val="JuHHead"/>
    <w:next w:val="JuPara"/>
    <w:link w:val="JuHIRomanChar"/>
    <w:rsid w:val="008C47E1"/>
    <w:pPr>
      <w:tabs>
        <w:tab w:val="left" w:pos="357"/>
      </w:tabs>
      <w:spacing w:before="360"/>
      <w:ind w:left="357" w:hanging="357"/>
      <w:outlineLvl w:val="1"/>
    </w:pPr>
    <w:rPr>
      <w:sz w:val="24"/>
    </w:rPr>
  </w:style>
  <w:style w:type="paragraph" w:customStyle="1" w:styleId="JuHHead">
    <w:name w:val="Ju_H_Head"/>
    <w:basedOn w:val="NormalTimesNewRoman"/>
    <w:next w:val="JuPara"/>
    <w:rsid w:val="008C47E1"/>
    <w:pPr>
      <w:keepNext/>
      <w:keepLines/>
      <w:spacing w:before="720" w:after="240"/>
      <w:jc w:val="both"/>
      <w:outlineLvl w:val="0"/>
    </w:pPr>
    <w:rPr>
      <w:sz w:val="28"/>
    </w:rPr>
  </w:style>
  <w:style w:type="paragraph" w:customStyle="1" w:styleId="NormalTimesNewRoman">
    <w:name w:val="Normal_TimesNewRoman"/>
    <w:rsid w:val="008C47E1"/>
    <w:rPr>
      <w:sz w:val="24"/>
      <w:lang w:val="en-GB" w:eastAsia="fr-FR"/>
    </w:rPr>
  </w:style>
  <w:style w:type="paragraph" w:customStyle="1" w:styleId="JuPara">
    <w:name w:val="Ju_Para"/>
    <w:aliases w:val="Left,First line:  0 cm,ECHR_Para"/>
    <w:basedOn w:val="NormalTimesNewRoman"/>
    <w:link w:val="JuParaChar"/>
    <w:uiPriority w:val="12"/>
    <w:qFormat/>
    <w:rsid w:val="008C47E1"/>
    <w:pPr>
      <w:ind w:firstLine="284"/>
      <w:jc w:val="both"/>
    </w:pPr>
  </w:style>
  <w:style w:type="character" w:customStyle="1" w:styleId="JuParaChar">
    <w:name w:val="Ju_Para Char"/>
    <w:link w:val="JuPara"/>
    <w:rsid w:val="008C47E1"/>
    <w:rPr>
      <w:sz w:val="24"/>
      <w:lang w:val="en-GB" w:eastAsia="fr-FR" w:bidi="ar-SA"/>
    </w:rPr>
  </w:style>
  <w:style w:type="character" w:customStyle="1" w:styleId="JuHIRomanChar">
    <w:name w:val="Ju_H_I_Roman Char"/>
    <w:link w:val="JuHIRoman"/>
    <w:rsid w:val="008C47E1"/>
    <w:rPr>
      <w:sz w:val="24"/>
      <w:lang w:val="en-GB" w:eastAsia="fr-FR" w:bidi="ar-SA"/>
    </w:rPr>
  </w:style>
  <w:style w:type="paragraph" w:customStyle="1" w:styleId="OpiPara">
    <w:name w:val="Opi_Para"/>
    <w:basedOn w:val="JuPara"/>
    <w:rsid w:val="008C47E1"/>
  </w:style>
  <w:style w:type="character" w:customStyle="1" w:styleId="DefaultTimesNewRoman">
    <w:name w:val="Default_TimesNewRoman"/>
    <w:rsid w:val="008C47E1"/>
    <w:rPr>
      <w:rFonts w:ascii="Times New Roman" w:hAnsi="Times New Roman"/>
    </w:rPr>
  </w:style>
  <w:style w:type="paragraph" w:customStyle="1" w:styleId="OpiH1">
    <w:name w:val="Opi_H_1."/>
    <w:basedOn w:val="OpiHA"/>
    <w:next w:val="OpiPara"/>
    <w:rsid w:val="008C47E1"/>
    <w:pPr>
      <w:spacing w:before="240" w:after="120"/>
      <w:ind w:left="635"/>
      <w:outlineLvl w:val="2"/>
    </w:pPr>
    <w:rPr>
      <w:b w:val="0"/>
      <w:i/>
    </w:rPr>
  </w:style>
  <w:style w:type="paragraph" w:customStyle="1" w:styleId="OpiHa0">
    <w:name w:val="Opi_H_a"/>
    <w:basedOn w:val="OpiH1"/>
    <w:next w:val="OpiPara"/>
    <w:rsid w:val="008C47E1"/>
    <w:pPr>
      <w:ind w:left="833"/>
      <w:outlineLvl w:val="3"/>
    </w:pPr>
    <w:rPr>
      <w:b/>
      <w:i w:val="0"/>
      <w:sz w:val="20"/>
    </w:rPr>
  </w:style>
  <w:style w:type="paragraph" w:customStyle="1" w:styleId="OpiHHead">
    <w:name w:val="Opi_H_Head"/>
    <w:basedOn w:val="JuHHead"/>
    <w:next w:val="OpiPara"/>
    <w:rsid w:val="008C47E1"/>
    <w:pPr>
      <w:spacing w:before="0"/>
      <w:jc w:val="center"/>
    </w:pPr>
  </w:style>
  <w:style w:type="paragraph" w:customStyle="1" w:styleId="OpiHi">
    <w:name w:val="Opi_H_i"/>
    <w:basedOn w:val="OpiHa0"/>
    <w:next w:val="OpiPara"/>
    <w:rsid w:val="008C47E1"/>
    <w:pPr>
      <w:ind w:left="1037"/>
      <w:outlineLvl w:val="4"/>
    </w:pPr>
    <w:rPr>
      <w:b w:val="0"/>
      <w:i/>
    </w:rPr>
  </w:style>
  <w:style w:type="paragraph" w:styleId="Footer">
    <w:name w:val="footer"/>
    <w:basedOn w:val="NormalTimesNewRoman"/>
    <w:rsid w:val="008C47E1"/>
    <w:pPr>
      <w:tabs>
        <w:tab w:val="center" w:pos="3686"/>
        <w:tab w:val="right" w:pos="7371"/>
      </w:tabs>
    </w:pPr>
    <w:rPr>
      <w:sz w:val="18"/>
    </w:rPr>
  </w:style>
  <w:style w:type="paragraph" w:customStyle="1" w:styleId="JuJudges">
    <w:name w:val="Ju_Judges"/>
    <w:aliases w:val="ECHR_Decision_Body"/>
    <w:basedOn w:val="NormalTimesNewRoman"/>
    <w:link w:val="JuJudgesChar"/>
    <w:uiPriority w:val="11"/>
    <w:qFormat/>
    <w:rsid w:val="008C47E1"/>
    <w:pPr>
      <w:tabs>
        <w:tab w:val="left" w:pos="567"/>
        <w:tab w:val="left" w:pos="1134"/>
      </w:tabs>
    </w:pPr>
  </w:style>
  <w:style w:type="character" w:customStyle="1" w:styleId="JuJudgesChar">
    <w:name w:val="Ju_Judges Char"/>
    <w:link w:val="JuJudges"/>
    <w:uiPriority w:val="11"/>
    <w:locked/>
    <w:rsid w:val="008C47E1"/>
    <w:rPr>
      <w:sz w:val="24"/>
      <w:lang w:val="en-GB" w:eastAsia="fr-FR" w:bidi="ar-SA"/>
    </w:rPr>
  </w:style>
  <w:style w:type="paragraph" w:customStyle="1" w:styleId="JuHA">
    <w:name w:val="Ju_H_A"/>
    <w:basedOn w:val="JuHIRoman"/>
    <w:next w:val="JuPara"/>
    <w:link w:val="JuHAChar"/>
    <w:rsid w:val="008C47E1"/>
    <w:pPr>
      <w:tabs>
        <w:tab w:val="clear" w:pos="357"/>
        <w:tab w:val="left" w:pos="584"/>
      </w:tabs>
      <w:ind w:left="584" w:hanging="352"/>
      <w:outlineLvl w:val="2"/>
    </w:pPr>
    <w:rPr>
      <w:b/>
    </w:rPr>
  </w:style>
  <w:style w:type="character" w:customStyle="1" w:styleId="JuHAChar">
    <w:name w:val="Ju_H_A Char"/>
    <w:link w:val="JuHA"/>
    <w:rsid w:val="008C47E1"/>
    <w:rPr>
      <w:b/>
      <w:sz w:val="24"/>
      <w:lang w:val="en-GB" w:eastAsia="fr-FR" w:bidi="ar-SA"/>
    </w:rPr>
  </w:style>
  <w:style w:type="paragraph" w:customStyle="1" w:styleId="JuQuot">
    <w:name w:val="Ju_Quot"/>
    <w:basedOn w:val="JuPara"/>
    <w:rsid w:val="008C47E1"/>
    <w:pPr>
      <w:spacing w:before="120" w:after="120"/>
      <w:ind w:left="425" w:firstLine="142"/>
    </w:pPr>
    <w:rPr>
      <w:sz w:val="20"/>
    </w:rPr>
  </w:style>
  <w:style w:type="paragraph" w:customStyle="1" w:styleId="JuSigned">
    <w:name w:val="Ju_Signed"/>
    <w:basedOn w:val="NormalTimesNewRoman"/>
    <w:next w:val="JuParaLast"/>
    <w:link w:val="JuSignedChar"/>
    <w:rsid w:val="008C47E1"/>
    <w:pPr>
      <w:tabs>
        <w:tab w:val="center" w:pos="851"/>
        <w:tab w:val="center" w:pos="6407"/>
      </w:tabs>
      <w:spacing w:before="720"/>
    </w:pPr>
  </w:style>
  <w:style w:type="paragraph" w:customStyle="1" w:styleId="JuParaLast">
    <w:name w:val="Ju_Para_Last"/>
    <w:basedOn w:val="JuPara"/>
    <w:next w:val="JuPara"/>
    <w:rsid w:val="008C47E1"/>
    <w:pPr>
      <w:keepNext/>
      <w:keepLines/>
      <w:spacing w:before="240"/>
    </w:pPr>
  </w:style>
  <w:style w:type="character" w:customStyle="1" w:styleId="JuSignedChar">
    <w:name w:val="Ju_Signed Char"/>
    <w:link w:val="JuSigned"/>
    <w:rsid w:val="008C47E1"/>
    <w:rPr>
      <w:sz w:val="24"/>
      <w:lang w:val="en-GB" w:eastAsia="fr-FR" w:bidi="ar-SA"/>
    </w:rPr>
  </w:style>
  <w:style w:type="paragraph" w:customStyle="1" w:styleId="JuCase">
    <w:name w:val="Ju_Case"/>
    <w:basedOn w:val="JuPara"/>
    <w:next w:val="JuPara"/>
    <w:link w:val="JuCaseChar"/>
    <w:rsid w:val="008C47E1"/>
    <w:rPr>
      <w:b/>
    </w:rPr>
  </w:style>
  <w:style w:type="character" w:customStyle="1" w:styleId="JuCaseChar">
    <w:name w:val="Ju_Case Char"/>
    <w:link w:val="JuCase"/>
    <w:rsid w:val="008C47E1"/>
    <w:rPr>
      <w:b/>
      <w:sz w:val="24"/>
      <w:lang w:val="en-GB" w:eastAsia="fr-FR" w:bidi="ar-SA"/>
    </w:rPr>
  </w:style>
  <w:style w:type="paragraph" w:customStyle="1" w:styleId="JuList">
    <w:name w:val="Ju_List"/>
    <w:basedOn w:val="JuPara"/>
    <w:link w:val="JuListChar"/>
    <w:rsid w:val="008C47E1"/>
    <w:pPr>
      <w:ind w:left="340" w:hanging="340"/>
    </w:pPr>
  </w:style>
  <w:style w:type="character" w:customStyle="1" w:styleId="JuListChar">
    <w:name w:val="Ju_List Char"/>
    <w:link w:val="JuList"/>
    <w:rsid w:val="008C47E1"/>
    <w:rPr>
      <w:sz w:val="24"/>
      <w:lang w:val="en-GB" w:eastAsia="fr-FR" w:bidi="ar-SA"/>
    </w:rPr>
  </w:style>
  <w:style w:type="paragraph" w:customStyle="1" w:styleId="JuHArticle">
    <w:name w:val="Ju_H_Article"/>
    <w:basedOn w:val="JuHa0"/>
    <w:next w:val="JuQuot"/>
    <w:rsid w:val="008C47E1"/>
    <w:pPr>
      <w:ind w:left="0" w:firstLine="0"/>
      <w:jc w:val="center"/>
    </w:pPr>
  </w:style>
  <w:style w:type="paragraph" w:customStyle="1" w:styleId="JuHa0">
    <w:name w:val="Ju_H_a"/>
    <w:basedOn w:val="JuH1"/>
    <w:next w:val="JuPara"/>
    <w:rsid w:val="008C47E1"/>
    <w:pPr>
      <w:tabs>
        <w:tab w:val="clear" w:pos="731"/>
        <w:tab w:val="left" w:pos="975"/>
      </w:tabs>
      <w:ind w:left="975" w:hanging="340"/>
      <w:outlineLvl w:val="4"/>
    </w:pPr>
    <w:rPr>
      <w:b/>
      <w:i w:val="0"/>
      <w:sz w:val="20"/>
    </w:rPr>
  </w:style>
  <w:style w:type="paragraph" w:customStyle="1" w:styleId="JuH1">
    <w:name w:val="Ju_H_1."/>
    <w:basedOn w:val="JuHA"/>
    <w:next w:val="JuPara"/>
    <w:rsid w:val="008C47E1"/>
    <w:pPr>
      <w:tabs>
        <w:tab w:val="clear" w:pos="584"/>
        <w:tab w:val="left" w:pos="731"/>
      </w:tabs>
      <w:spacing w:before="240" w:after="120"/>
      <w:ind w:left="732" w:hanging="301"/>
      <w:outlineLvl w:val="3"/>
    </w:pPr>
    <w:rPr>
      <w:b w:val="0"/>
      <w:i/>
    </w:rPr>
  </w:style>
  <w:style w:type="paragraph" w:customStyle="1" w:styleId="JuQuotList">
    <w:name w:val="Ju_Quot_List"/>
    <w:basedOn w:val="JuQuot"/>
    <w:rsid w:val="008C47E1"/>
    <w:pPr>
      <w:tabs>
        <w:tab w:val="left" w:pos="1021"/>
      </w:tabs>
      <w:ind w:left="567" w:firstLine="0"/>
    </w:pPr>
  </w:style>
  <w:style w:type="paragraph" w:customStyle="1" w:styleId="JuCourt">
    <w:name w:val="Ju_Court"/>
    <w:basedOn w:val="JuJudges"/>
    <w:rsid w:val="008C47E1"/>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8C47E1"/>
  </w:style>
  <w:style w:type="paragraph" w:customStyle="1" w:styleId="OpiTranslation">
    <w:name w:val="Opi_Translation"/>
    <w:basedOn w:val="OpiHHead"/>
    <w:next w:val="OpiPara"/>
    <w:rsid w:val="008C47E1"/>
    <w:rPr>
      <w:i/>
      <w:sz w:val="24"/>
    </w:rPr>
  </w:style>
  <w:style w:type="paragraph" w:customStyle="1" w:styleId="JuHi">
    <w:name w:val="Ju_H_i"/>
    <w:basedOn w:val="JuHa0"/>
    <w:next w:val="JuPara"/>
    <w:rsid w:val="008C47E1"/>
    <w:pPr>
      <w:tabs>
        <w:tab w:val="clear" w:pos="975"/>
        <w:tab w:val="left" w:pos="1191"/>
      </w:tabs>
      <w:ind w:left="1190" w:hanging="357"/>
      <w:outlineLvl w:val="5"/>
    </w:pPr>
    <w:rPr>
      <w:b w:val="0"/>
      <w:i/>
    </w:rPr>
  </w:style>
  <w:style w:type="paragraph" w:styleId="Header">
    <w:name w:val="header"/>
    <w:basedOn w:val="NormalTimesNewRoman"/>
    <w:rsid w:val="008C47E1"/>
    <w:pPr>
      <w:tabs>
        <w:tab w:val="center" w:pos="3686"/>
        <w:tab w:val="right" w:pos="7371"/>
      </w:tabs>
    </w:pPr>
    <w:rPr>
      <w:sz w:val="18"/>
    </w:rPr>
  </w:style>
  <w:style w:type="character" w:styleId="PageNumber">
    <w:name w:val="page number"/>
    <w:rsid w:val="008C47E1"/>
    <w:rPr>
      <w:sz w:val="18"/>
    </w:rPr>
  </w:style>
  <w:style w:type="paragraph" w:customStyle="1" w:styleId="JuH">
    <w:name w:val="Ju_H_–"/>
    <w:basedOn w:val="JuHalpha"/>
    <w:next w:val="JuPara"/>
    <w:rsid w:val="008C47E1"/>
    <w:pPr>
      <w:tabs>
        <w:tab w:val="clear" w:pos="1372"/>
      </w:tabs>
      <w:ind w:left="1236" w:firstLine="0"/>
    </w:pPr>
    <w:rPr>
      <w:i/>
    </w:rPr>
  </w:style>
  <w:style w:type="paragraph" w:customStyle="1" w:styleId="JuHalpha">
    <w:name w:val="Ju_H_alpha"/>
    <w:basedOn w:val="JuHi"/>
    <w:next w:val="JuPara"/>
    <w:rsid w:val="008C47E1"/>
    <w:pPr>
      <w:tabs>
        <w:tab w:val="clear" w:pos="1191"/>
        <w:tab w:val="left" w:pos="1372"/>
      </w:tabs>
      <w:ind w:left="1373" w:hanging="335"/>
    </w:pPr>
    <w:rPr>
      <w:i w:val="0"/>
    </w:rPr>
  </w:style>
  <w:style w:type="paragraph" w:customStyle="1" w:styleId="JuLista">
    <w:name w:val="Ju_List_a"/>
    <w:basedOn w:val="JuList"/>
    <w:rsid w:val="008C47E1"/>
    <w:pPr>
      <w:ind w:left="346" w:firstLine="0"/>
    </w:pPr>
  </w:style>
  <w:style w:type="paragraph" w:customStyle="1" w:styleId="JuListi">
    <w:name w:val="Ju_List_i"/>
    <w:basedOn w:val="JuLista"/>
    <w:rsid w:val="008C47E1"/>
    <w:pPr>
      <w:ind w:left="794"/>
    </w:pPr>
  </w:style>
  <w:style w:type="paragraph" w:customStyle="1" w:styleId="JuInitialled">
    <w:name w:val="Ju_Initialled"/>
    <w:basedOn w:val="JuSigned"/>
    <w:rsid w:val="008C47E1"/>
    <w:pPr>
      <w:tabs>
        <w:tab w:val="clear" w:pos="851"/>
      </w:tabs>
      <w:jc w:val="right"/>
    </w:pPr>
  </w:style>
  <w:style w:type="paragraph" w:customStyle="1" w:styleId="JuHeader">
    <w:name w:val="Ju_Header"/>
    <w:basedOn w:val="Header"/>
    <w:rsid w:val="008C47E1"/>
  </w:style>
  <w:style w:type="paragraph" w:customStyle="1" w:styleId="DecHTitle">
    <w:name w:val="Dec_H_Title"/>
    <w:basedOn w:val="Normal"/>
    <w:rsid w:val="008C47E1"/>
    <w:pPr>
      <w:spacing w:after="240"/>
      <w:jc w:val="center"/>
      <w:outlineLvl w:val="0"/>
    </w:pPr>
    <w:rPr>
      <w:sz w:val="28"/>
    </w:rPr>
  </w:style>
  <w:style w:type="paragraph" w:customStyle="1" w:styleId="DecHCase">
    <w:name w:val="Dec_H_Case"/>
    <w:basedOn w:val="DecHTitle"/>
    <w:next w:val="JuPara"/>
    <w:rsid w:val="008C47E1"/>
    <w:rPr>
      <w:sz w:val="24"/>
    </w:rPr>
  </w:style>
  <w:style w:type="paragraph" w:customStyle="1" w:styleId="DecList">
    <w:name w:val="Dec_List"/>
    <w:basedOn w:val="Normal"/>
    <w:rsid w:val="008C47E1"/>
    <w:pPr>
      <w:spacing w:before="240"/>
      <w:ind w:left="284"/>
      <w:jc w:val="both"/>
    </w:pPr>
  </w:style>
  <w:style w:type="paragraph" w:customStyle="1" w:styleId="JuParaSub">
    <w:name w:val="Ju_Para_Sub"/>
    <w:basedOn w:val="JuPara"/>
    <w:rsid w:val="008C47E1"/>
    <w:pPr>
      <w:ind w:left="284"/>
    </w:pPr>
    <w:rPr>
      <w:szCs w:val="24"/>
    </w:rPr>
  </w:style>
  <w:style w:type="paragraph" w:customStyle="1" w:styleId="JuQuotSub">
    <w:name w:val="Ju_Quot_Sub"/>
    <w:basedOn w:val="JuQuot"/>
    <w:rsid w:val="008C47E1"/>
    <w:pPr>
      <w:ind w:left="567"/>
    </w:pPr>
  </w:style>
  <w:style w:type="character" w:styleId="FollowedHyperlink">
    <w:name w:val="FollowedHyperlink"/>
    <w:rsid w:val="008C47E1"/>
    <w:rPr>
      <w:color w:val="800080"/>
      <w:u w:val="single"/>
    </w:rPr>
  </w:style>
  <w:style w:type="paragraph" w:customStyle="1" w:styleId="SuCoverTitle1">
    <w:name w:val="Su_Cover_Title1"/>
    <w:basedOn w:val="Normal"/>
    <w:next w:val="SuCoverTitle2"/>
    <w:rsid w:val="008C47E1"/>
    <w:pPr>
      <w:spacing w:before="2500"/>
      <w:jc w:val="center"/>
    </w:pPr>
    <w:rPr>
      <w:sz w:val="22"/>
    </w:rPr>
  </w:style>
  <w:style w:type="paragraph" w:customStyle="1" w:styleId="SuCoverTitle2">
    <w:name w:val="Su_Cover_Title2"/>
    <w:basedOn w:val="SuCoverTitle1"/>
    <w:next w:val="Normal"/>
    <w:rsid w:val="008C47E1"/>
    <w:pPr>
      <w:spacing w:before="240"/>
    </w:pPr>
    <w:rPr>
      <w:sz w:val="18"/>
    </w:rPr>
  </w:style>
  <w:style w:type="paragraph" w:customStyle="1" w:styleId="SuPara">
    <w:name w:val="Su_Para"/>
    <w:basedOn w:val="SuKeywords"/>
    <w:rsid w:val="008C47E1"/>
    <w:pPr>
      <w:spacing w:before="0" w:after="0"/>
    </w:pPr>
    <w:rPr>
      <w:i w:val="0"/>
    </w:rPr>
  </w:style>
  <w:style w:type="paragraph" w:customStyle="1" w:styleId="SuKeywords">
    <w:name w:val="Su_Keywords"/>
    <w:basedOn w:val="SuHHead"/>
    <w:rsid w:val="008C47E1"/>
    <w:pPr>
      <w:spacing w:before="120"/>
    </w:pPr>
    <w:rPr>
      <w:b w:val="0"/>
      <w:i/>
    </w:rPr>
  </w:style>
  <w:style w:type="paragraph" w:customStyle="1" w:styleId="SuHHead">
    <w:name w:val="Su_H_Head"/>
    <w:basedOn w:val="SuSubject"/>
    <w:rsid w:val="008C47E1"/>
    <w:pPr>
      <w:spacing w:after="120"/>
    </w:pPr>
  </w:style>
  <w:style w:type="paragraph" w:customStyle="1" w:styleId="SuSubject">
    <w:name w:val="Su_Subject"/>
    <w:basedOn w:val="SuSummary"/>
    <w:rsid w:val="008C47E1"/>
    <w:pPr>
      <w:suppressAutoHyphens w:val="0"/>
      <w:spacing w:before="360"/>
      <w:jc w:val="both"/>
    </w:pPr>
    <w:rPr>
      <w:b/>
      <w:sz w:val="22"/>
    </w:rPr>
  </w:style>
  <w:style w:type="paragraph" w:customStyle="1" w:styleId="SuSummary">
    <w:name w:val="Su_Summary"/>
    <w:basedOn w:val="Normal"/>
    <w:next w:val="SuSubject"/>
    <w:rsid w:val="008C47E1"/>
    <w:pPr>
      <w:spacing w:after="240"/>
      <w:jc w:val="center"/>
    </w:pPr>
  </w:style>
  <w:style w:type="paragraph" w:customStyle="1" w:styleId="OpiParaSub">
    <w:name w:val="Opi_Para_Sub"/>
    <w:basedOn w:val="JuParaSub"/>
    <w:rsid w:val="008C47E1"/>
  </w:style>
  <w:style w:type="paragraph" w:customStyle="1" w:styleId="OpiQuotSub">
    <w:name w:val="Opi_Quot_Sub"/>
    <w:basedOn w:val="JuQuotSub"/>
    <w:rsid w:val="008C47E1"/>
  </w:style>
  <w:style w:type="character" w:styleId="Hyperlink">
    <w:name w:val="Hyperlink"/>
    <w:rsid w:val="008C47E1"/>
    <w:rPr>
      <w:color w:val="0000FF"/>
      <w:u w:val="single"/>
    </w:rPr>
  </w:style>
  <w:style w:type="character" w:styleId="Strong">
    <w:name w:val="Strong"/>
    <w:qFormat/>
    <w:rsid w:val="008C47E1"/>
    <w:rPr>
      <w:b/>
      <w:bCs/>
    </w:rPr>
  </w:style>
  <w:style w:type="character" w:customStyle="1" w:styleId="JuNames">
    <w:name w:val="Ju_Names"/>
    <w:rsid w:val="008C47E1"/>
    <w:rPr>
      <w:smallCaps/>
    </w:rPr>
  </w:style>
  <w:style w:type="paragraph" w:customStyle="1" w:styleId="NormalJustified">
    <w:name w:val="Normal_Justified"/>
    <w:basedOn w:val="Normal"/>
    <w:rsid w:val="008C47E1"/>
    <w:pPr>
      <w:jc w:val="both"/>
    </w:pPr>
  </w:style>
  <w:style w:type="paragraph" w:customStyle="1" w:styleId="JuAppQuestion">
    <w:name w:val="Ju_App_Question"/>
    <w:basedOn w:val="ListBullet"/>
    <w:rsid w:val="008C47E1"/>
    <w:pPr>
      <w:numPr>
        <w:numId w:val="3"/>
      </w:numPr>
      <w:suppressAutoHyphens w:val="0"/>
    </w:pPr>
    <w:rPr>
      <w:b/>
      <w:color w:val="333333"/>
    </w:rPr>
  </w:style>
  <w:style w:type="paragraph" w:styleId="ListBullet">
    <w:name w:val="List Bullet"/>
    <w:basedOn w:val="Normal"/>
    <w:rsid w:val="008C47E1"/>
    <w:pPr>
      <w:numPr>
        <w:numId w:val="2"/>
      </w:numPr>
    </w:pPr>
  </w:style>
  <w:style w:type="character" w:customStyle="1" w:styleId="JuITMark">
    <w:name w:val="Ju_ITMark"/>
    <w:rsid w:val="008C47E1"/>
    <w:rPr>
      <w:rFonts w:ascii="Times New Roman" w:hAnsi="Times New Roman"/>
      <w:vanish/>
      <w:color w:val="339966"/>
      <w:sz w:val="16"/>
      <w:szCs w:val="16"/>
      <w:lang w:val="fi-FI"/>
    </w:rPr>
  </w:style>
  <w:style w:type="paragraph" w:customStyle="1" w:styleId="JuTitle">
    <w:name w:val="Ju_Title"/>
    <w:basedOn w:val="JuHHead"/>
    <w:next w:val="JuPara"/>
    <w:rsid w:val="008C47E1"/>
    <w:pPr>
      <w:jc w:val="center"/>
    </w:pPr>
    <w:rPr>
      <w:b/>
      <w:caps/>
      <w:sz w:val="24"/>
      <w:szCs w:val="24"/>
      <w:u w:val="single"/>
    </w:rPr>
  </w:style>
  <w:style w:type="character" w:customStyle="1" w:styleId="JuParaCar">
    <w:name w:val="Ju_Para Car"/>
    <w:uiPriority w:val="12"/>
    <w:rsid w:val="008C47E1"/>
    <w:rPr>
      <w:sz w:val="24"/>
      <w:lang w:val="en-GB" w:eastAsia="fr-FR" w:bidi="ar-SA"/>
    </w:rPr>
  </w:style>
  <w:style w:type="character" w:customStyle="1" w:styleId="sb8d990e2">
    <w:name w:val="sb8d990e2"/>
    <w:basedOn w:val="DefaultParagraphFont"/>
    <w:rsid w:val="008C47E1"/>
  </w:style>
  <w:style w:type="character" w:customStyle="1" w:styleId="wordhighlighted">
    <w:name w:val="wordhighlighted"/>
    <w:basedOn w:val="DefaultParagraphFont"/>
    <w:rsid w:val="008C47E1"/>
  </w:style>
  <w:style w:type="character" w:customStyle="1" w:styleId="s6b621b36">
    <w:name w:val="s6b621b36"/>
    <w:basedOn w:val="DefaultParagraphFont"/>
    <w:rsid w:val="008C47E1"/>
  </w:style>
  <w:style w:type="character" w:customStyle="1" w:styleId="sea881cdfhasverticalalignsuper">
    <w:name w:val="sea881cdf hasverticalalignsuper"/>
    <w:basedOn w:val="DefaultParagraphFont"/>
    <w:rsid w:val="008C47E1"/>
  </w:style>
  <w:style w:type="character" w:customStyle="1" w:styleId="wordhighlightedcurrentterm">
    <w:name w:val="wordhighlighted currentterm"/>
    <w:basedOn w:val="DefaultParagraphFont"/>
    <w:rsid w:val="008C47E1"/>
  </w:style>
  <w:style w:type="paragraph" w:customStyle="1" w:styleId="s30eec3f8">
    <w:name w:val="s30eec3f8"/>
    <w:basedOn w:val="Normal"/>
    <w:rsid w:val="008C47E1"/>
    <w:pPr>
      <w:suppressAutoHyphens w:val="0"/>
      <w:spacing w:before="100" w:beforeAutospacing="1" w:after="100" w:afterAutospacing="1"/>
    </w:pPr>
    <w:rPr>
      <w:szCs w:val="24"/>
      <w:lang w:eastAsia="en-GB"/>
    </w:rPr>
  </w:style>
  <w:style w:type="character" w:customStyle="1" w:styleId="ju-005fpara-002cleft-002cfirst-0020line-003a-0020-00200-0020cm--char">
    <w:name w:val="ju-005fpara-002cleft-002cfirst-0020line-003a-0020-00200-0020cm--char"/>
    <w:basedOn w:val="DefaultParagraphFont"/>
    <w:rsid w:val="008C47E1"/>
  </w:style>
  <w:style w:type="character" w:customStyle="1" w:styleId="ju--------005fpara--------002cleft--------002cfirst--------0020line--------003a--------0020--------00200--------0020cm----------------char--------char----char--char">
    <w:name w:val="ju--------005fpara--------002cleft--------002cfirst--------0020line--------003a--------0020--------00200--------0020cm----------------char--------char----char--char"/>
    <w:basedOn w:val="DefaultParagraphFont"/>
    <w:rsid w:val="008C47E1"/>
  </w:style>
  <w:style w:type="character" w:customStyle="1" w:styleId="ju----------------005fpara--------------------------------char----------------char--------char----char--char">
    <w:name w:val="ju----------------005fpara--------------------------------char----------------char--------char----char--char"/>
    <w:basedOn w:val="DefaultParagraphFont"/>
    <w:rsid w:val="008C47E1"/>
  </w:style>
  <w:style w:type="character" w:customStyle="1" w:styleId="ju-005fpara--char">
    <w:name w:val="ju-005fpara--char"/>
    <w:basedOn w:val="DefaultParagraphFont"/>
    <w:rsid w:val="008C47E1"/>
  </w:style>
  <w:style w:type="character" w:customStyle="1" w:styleId="libtrombi11">
    <w:name w:val="libtrombi11"/>
    <w:basedOn w:val="DefaultParagraphFont"/>
    <w:rsid w:val="008C47E1"/>
  </w:style>
  <w:style w:type="paragraph" w:styleId="BalloonText">
    <w:name w:val="Balloon Text"/>
    <w:basedOn w:val="Normal"/>
    <w:semiHidden/>
    <w:rsid w:val="004A4D10"/>
    <w:rPr>
      <w:rFonts w:ascii="Tahoma" w:hAnsi="Tahoma" w:cs="Tahoma"/>
      <w:sz w:val="16"/>
      <w:szCs w:val="16"/>
    </w:rPr>
  </w:style>
  <w:style w:type="character" w:styleId="CommentReference">
    <w:name w:val="annotation reference"/>
    <w:semiHidden/>
    <w:rsid w:val="007D1BFF"/>
    <w:rPr>
      <w:sz w:val="16"/>
      <w:szCs w:val="16"/>
    </w:rPr>
  </w:style>
  <w:style w:type="paragraph" w:styleId="CommentText">
    <w:name w:val="annotation text"/>
    <w:basedOn w:val="Normal"/>
    <w:semiHidden/>
    <w:rsid w:val="007D1BFF"/>
    <w:rPr>
      <w:sz w:val="20"/>
    </w:rPr>
  </w:style>
  <w:style w:type="paragraph" w:styleId="CommentSubject">
    <w:name w:val="annotation subject"/>
    <w:basedOn w:val="CommentText"/>
    <w:next w:val="CommentText"/>
    <w:semiHidden/>
    <w:rsid w:val="007D1BFF"/>
    <w:rPr>
      <w:b/>
      <w:bCs/>
    </w:rPr>
  </w:style>
  <w:style w:type="character" w:customStyle="1" w:styleId="ju--005fpara----char--char">
    <w:name w:val="ju--005fpara----char--char"/>
    <w:rsid w:val="003335A5"/>
  </w:style>
  <w:style w:type="paragraph" w:styleId="FootnoteText">
    <w:name w:val="footnote text"/>
    <w:basedOn w:val="Normal"/>
    <w:link w:val="FootnoteTextChar"/>
    <w:rsid w:val="00122C5F"/>
    <w:rPr>
      <w:sz w:val="20"/>
    </w:rPr>
  </w:style>
  <w:style w:type="character" w:customStyle="1" w:styleId="FootnoteTextChar">
    <w:name w:val="Footnote Text Char"/>
    <w:link w:val="FootnoteText"/>
    <w:rsid w:val="00122C5F"/>
    <w:rPr>
      <w:lang w:val="en-GB" w:eastAsia="fr-FR"/>
    </w:rPr>
  </w:style>
  <w:style w:type="character" w:styleId="FootnoteReference">
    <w:name w:val="footnote reference"/>
    <w:rsid w:val="00122C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9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806E-EF1A-4513-A8D5-90FAF039787C}">
  <ds:schemaRefs>
    <ds:schemaRef ds:uri="http://schemas.microsoft.com/sharepoint/v3/contenttype/forms"/>
  </ds:schemaRefs>
</ds:datastoreItem>
</file>

<file path=customXml/itemProps2.xml><?xml version="1.0" encoding="utf-8"?>
<ds:datastoreItem xmlns:ds="http://schemas.openxmlformats.org/officeDocument/2006/customXml" ds:itemID="{5E2FEE87-BE76-4D3D-B66C-6EC19859D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C29CE9-D8EB-424D-A700-E28A56FB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8636</Words>
  <Characters>49227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cp:lastPrinted>2013-08-02T10:26:00Z</cp:lastPrinted>
  <dcterms:created xsi:type="dcterms:W3CDTF">2013-11-28T08:51:00Z</dcterms:created>
  <dcterms:modified xsi:type="dcterms:W3CDTF">2013-11-28T08:51:00Z</dcterms:modified>
</cp:coreProperties>
</file>